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005253B2" w:rsidRPr="00CE151F" w:rsidP="00EC45CA" w14:paraId="791467E8" w14:textId="77777777">
      <w:pPr>
        <w:spacing w:line="252" w:lineRule="auto"/>
        <w:ind w:right="-3137"/>
        <w:jc w:val="both"/>
        <w:rPr>
          <w:rFonts w:ascii="Arial" w:hAnsi="Arial" w:cs="Arial"/>
          <w:color w:val="0083A9"/>
        </w:rPr>
      </w:pPr>
      <w:bookmarkStart w:id="0" w:name="Bm_EPISSection"/>
      <w:r w:rsidRPr="00CE151F">
        <w:rPr>
          <w:rFonts w:ascii="Arial" w:hAnsi="Arial" w:cs="Arial"/>
          <w:color w:val="0083A9"/>
        </w:rPr>
        <w:t>Engagement Policy Implementation Statement</w:t>
      </w:r>
      <w:r w:rsidRPr="00CE151F" w:rsidR="00005D1D">
        <w:rPr>
          <w:rFonts w:ascii="Arial" w:hAnsi="Arial" w:cs="Arial"/>
          <w:color w:val="0083A9"/>
        </w:rPr>
        <w:t xml:space="preserve"> (“EPIS”)</w:t>
      </w:r>
    </w:p>
    <w:p w:rsidR="005E145E" w:rsidRPr="00CE151F" w:rsidP="00EC45CA" w14:paraId="0B84E687" w14:textId="77777777">
      <w:pPr>
        <w:tabs>
          <w:tab w:val="left" w:pos="3444"/>
        </w:tabs>
        <w:spacing w:line="252" w:lineRule="auto"/>
        <w:ind w:right="-3137"/>
        <w:jc w:val="both"/>
        <w:rPr>
          <w:rFonts w:ascii="Arial" w:hAnsi="Arial" w:cs="Arial"/>
          <w:color w:val="0083A9"/>
        </w:rPr>
      </w:pPr>
      <w:bookmarkStart w:id="1" w:name="Bm_SchemeDisplayName_Arial16_0083A9"/>
      <w:r w:rsidRPr="00CE151F">
        <w:rPr>
          <w:rFonts w:ascii="Arial" w:hAnsi="Arial" w:cs="Arial"/>
          <w:color w:val="0083A9"/>
        </w:rPr>
        <w:t>The Eaton-Williams Group Pension and Assurance Scheme</w:t>
      </w:r>
      <w:bookmarkEnd w:id="1"/>
      <w:r w:rsidRPr="00CE151F" w:rsidR="00F3144F">
        <w:rPr>
          <w:rFonts w:ascii="Arial" w:hAnsi="Arial" w:cs="Arial"/>
          <w:color w:val="0083A9"/>
        </w:rPr>
        <w:t xml:space="preserve"> (the</w:t>
      </w:r>
      <w:r w:rsidRPr="00CE151F" w:rsidR="00E46A14">
        <w:rPr>
          <w:rFonts w:ascii="Arial" w:hAnsi="Arial" w:cs="Arial"/>
          <w:color w:val="0083A9"/>
        </w:rPr>
        <w:t xml:space="preserve"> “</w:t>
      </w:r>
      <w:bookmarkStart w:id="2" w:name="Bm_SchemePlanFund_Arial16_0083A9"/>
      <w:r w:rsidRPr="00CE151F">
        <w:rPr>
          <w:rFonts w:ascii="Arial" w:hAnsi="Arial" w:cs="Arial"/>
          <w:color w:val="0083A9"/>
        </w:rPr>
        <w:t>Scheme</w:t>
      </w:r>
      <w:bookmarkEnd w:id="2"/>
      <w:r w:rsidRPr="00CE151F" w:rsidR="00F3144F">
        <w:rPr>
          <w:rFonts w:ascii="Arial" w:hAnsi="Arial" w:cs="Arial"/>
          <w:color w:val="0083A9"/>
        </w:rPr>
        <w:t>”)</w:t>
      </w:r>
    </w:p>
    <w:p w:rsidR="006338B1" w:rsidRPr="00CE151F" w:rsidP="00EC45CA" w14:paraId="1A6704F3" w14:textId="087FF878">
      <w:pPr>
        <w:tabs>
          <w:tab w:val="left" w:pos="3444"/>
        </w:tabs>
        <w:spacing w:line="252" w:lineRule="auto"/>
        <w:ind w:right="-3137"/>
        <w:jc w:val="both"/>
        <w:rPr>
          <w:rFonts w:ascii="Arial" w:hAnsi="Arial" w:cs="Arial"/>
          <w:color w:val="0083A9"/>
        </w:rPr>
      </w:pPr>
      <w:r w:rsidRPr="00CE151F">
        <w:rPr>
          <w:rFonts w:ascii="Arial" w:hAnsi="Arial" w:cs="Arial"/>
          <w:color w:val="0083A9"/>
        </w:rPr>
        <w:t xml:space="preserve">Scheme </w:t>
      </w:r>
      <w:r w:rsidRPr="00CE151F" w:rsidR="00982515">
        <w:rPr>
          <w:rFonts w:ascii="Arial" w:hAnsi="Arial" w:cs="Arial"/>
          <w:color w:val="0083A9"/>
        </w:rPr>
        <w:t xml:space="preserve">Year End – </w:t>
      </w:r>
      <w:bookmarkStart w:id="3" w:name="Bm_SchemeYearEndDate_Arial16_0083A9"/>
      <w:r w:rsidRPr="00CE151F" w:rsidR="00185754">
        <w:rPr>
          <w:rFonts w:ascii="Arial" w:hAnsi="Arial" w:cs="Arial"/>
          <w:color w:val="0083A9"/>
        </w:rPr>
        <w:t>31 December 2024</w:t>
      </w:r>
      <w:bookmarkEnd w:id="3"/>
    </w:p>
    <w:p w:rsidR="00832D40" w:rsidRPr="00CE151F" w:rsidP="00B80858" w14:paraId="7D35AD66" w14:textId="77777777">
      <w:pPr>
        <w:tabs>
          <w:tab w:val="left" w:pos="3444"/>
        </w:tabs>
        <w:spacing w:after="0" w:line="252" w:lineRule="auto"/>
        <w:ind w:right="-3137"/>
        <w:jc w:val="both"/>
        <w:rPr>
          <w:rFonts w:ascii="Arial" w:hAnsi="Arial" w:cs="Arial"/>
          <w:color w:val="0083A9"/>
          <w:highlight w:val="yellow"/>
        </w:rPr>
      </w:pPr>
    </w:p>
    <w:p w:rsidR="001F1B59" w:rsidRPr="00CE151F" w:rsidP="00B80858" w14:paraId="7B609A1C" w14:textId="77777777">
      <w:pPr>
        <w:spacing w:after="0" w:line="252" w:lineRule="auto"/>
        <w:ind w:right="-3137"/>
        <w:jc w:val="both"/>
        <w:rPr>
          <w:rFonts w:ascii="Arial" w:hAnsi="Arial" w:cs="Arial"/>
          <w:color w:val="7F7F7F" w:themeColor="text1" w:themeTint="80"/>
        </w:rPr>
      </w:pPr>
      <w:r w:rsidRPr="00CE151F">
        <w:rPr>
          <w:rFonts w:ascii="Arial" w:hAnsi="Arial" w:cs="Arial"/>
          <w:color w:val="7F7F7F" w:themeColor="text1" w:themeTint="80"/>
        </w:rPr>
        <w:t>Introduction</w:t>
      </w:r>
    </w:p>
    <w:p w:rsidR="0029059E" w:rsidRPr="00B80858" w:rsidP="00B80858" w14:paraId="43061E86" w14:textId="3FF4E485">
      <w:pPr>
        <w:spacing w:after="0" w:line="252" w:lineRule="auto"/>
        <w:ind w:right="-3137"/>
        <w:jc w:val="both"/>
        <w:rPr>
          <w:rFonts w:ascii="Arial" w:hAnsi="Arial" w:cs="Arial"/>
          <w:color w:val="7F7F7F" w:themeColor="text1" w:themeTint="80"/>
          <w:sz w:val="20"/>
          <w:szCs w:val="20"/>
        </w:rPr>
      </w:pPr>
    </w:p>
    <w:p w:rsidR="006338B1" w:rsidRPr="00B80858" w:rsidP="00B80858" w14:paraId="0F4A1B11" w14:textId="0A7F0A56">
      <w:pPr>
        <w:spacing w:line="252" w:lineRule="auto"/>
        <w:ind w:right="-3137"/>
        <w:jc w:val="both"/>
        <w:rPr>
          <w:rFonts w:ascii="Arial" w:hAnsi="Arial" w:cs="Arial"/>
          <w:color w:val="7F7F7F" w:themeColor="text1" w:themeTint="80"/>
          <w:sz w:val="20"/>
          <w:szCs w:val="20"/>
        </w:rPr>
      </w:pPr>
      <w:r w:rsidRPr="00B80858">
        <w:rPr>
          <w:rFonts w:ascii="Arial" w:hAnsi="Arial" w:cs="Arial"/>
          <w:color w:val="7F7F7F" w:themeColor="text1" w:themeTint="80"/>
          <w:sz w:val="20"/>
          <w:szCs w:val="20"/>
        </w:rPr>
        <w:t>T</w:t>
      </w:r>
      <w:r w:rsidRPr="00B80858" w:rsidR="003058BC">
        <w:rPr>
          <w:rFonts w:ascii="Arial" w:hAnsi="Arial" w:cs="Arial"/>
          <w:color w:val="7F7F7F" w:themeColor="text1" w:themeTint="80"/>
          <w:sz w:val="20"/>
          <w:szCs w:val="20"/>
        </w:rPr>
        <w:t xml:space="preserve">he purpose of the EPIS is for </w:t>
      </w:r>
      <w:r w:rsidRPr="00B80858" w:rsidR="004B231F">
        <w:rPr>
          <w:rFonts w:ascii="Arial" w:hAnsi="Arial" w:cs="Arial"/>
          <w:color w:val="7F7F7F" w:themeColor="text1" w:themeTint="80"/>
          <w:sz w:val="20"/>
          <w:szCs w:val="20"/>
        </w:rPr>
        <w:t>us</w:t>
      </w:r>
      <w:r w:rsidRPr="00B80858" w:rsidR="00B40461">
        <w:rPr>
          <w:rFonts w:ascii="Arial" w:hAnsi="Arial" w:cs="Arial"/>
          <w:color w:val="7F7F7F" w:themeColor="text1" w:themeTint="80"/>
          <w:sz w:val="20"/>
          <w:szCs w:val="20"/>
        </w:rPr>
        <w:t>, the</w:t>
      </w:r>
      <w:r w:rsidRPr="00B80858" w:rsidR="009A3E2F">
        <w:rPr>
          <w:rFonts w:ascii="Arial" w:hAnsi="Arial" w:cs="Arial"/>
          <w:color w:val="7F7F7F" w:themeColor="text1" w:themeTint="80"/>
          <w:sz w:val="20"/>
          <w:szCs w:val="20"/>
        </w:rPr>
        <w:t xml:space="preserve"> </w:t>
      </w:r>
      <w:bookmarkStart w:id="4" w:name="Bm_TrusteeTrustees_Arial14_7F7F7F"/>
      <w:r w:rsidRPr="00B80858" w:rsidR="009A3E2F">
        <w:rPr>
          <w:rFonts w:ascii="Arial" w:hAnsi="Arial" w:cs="Arial"/>
          <w:color w:val="7F7F7F" w:themeColor="text1" w:themeTint="80"/>
          <w:sz w:val="20"/>
          <w:szCs w:val="20"/>
        </w:rPr>
        <w:t>Trustees</w:t>
      </w:r>
      <w:bookmarkEnd w:id="4"/>
      <w:r w:rsidRPr="00B80858" w:rsidR="009A3E2F">
        <w:rPr>
          <w:rFonts w:ascii="Arial" w:hAnsi="Arial" w:cs="Arial"/>
          <w:color w:val="7F7F7F" w:themeColor="text1" w:themeTint="80"/>
          <w:sz w:val="20"/>
          <w:szCs w:val="20"/>
        </w:rPr>
        <w:t xml:space="preserve"> </w:t>
      </w:r>
      <w:r w:rsidRPr="00B80858" w:rsidR="00B40461">
        <w:rPr>
          <w:rFonts w:ascii="Arial" w:hAnsi="Arial" w:cs="Arial"/>
          <w:color w:val="7F7F7F" w:themeColor="text1" w:themeTint="80"/>
          <w:sz w:val="20"/>
          <w:szCs w:val="20"/>
        </w:rPr>
        <w:t xml:space="preserve">of the </w:t>
      </w:r>
      <w:bookmarkStart w:id="5" w:name="Bm_SchemeDisplayName_Arial14_7F7F7F"/>
      <w:r w:rsidRPr="00B80858" w:rsidR="009A3E2F">
        <w:rPr>
          <w:rFonts w:ascii="Arial" w:hAnsi="Arial" w:cs="Arial"/>
          <w:color w:val="7F7F7F" w:themeColor="text1" w:themeTint="80"/>
          <w:sz w:val="20"/>
          <w:szCs w:val="20"/>
        </w:rPr>
        <w:t>The Eaton-Williams Group Pension and Assurance Scheme</w:t>
      </w:r>
      <w:bookmarkEnd w:id="5"/>
      <w:r w:rsidRPr="00B80858" w:rsidR="001F1B59">
        <w:rPr>
          <w:rFonts w:ascii="Arial" w:hAnsi="Arial" w:cs="Arial"/>
          <w:color w:val="7F7F7F" w:themeColor="text1" w:themeTint="80"/>
          <w:sz w:val="20"/>
          <w:szCs w:val="20"/>
        </w:rPr>
        <w:t xml:space="preserve"> (the “Scheme”)</w:t>
      </w:r>
      <w:r w:rsidRPr="00B80858" w:rsidR="00B40461">
        <w:rPr>
          <w:rFonts w:ascii="Arial" w:hAnsi="Arial" w:cs="Arial"/>
          <w:color w:val="7F7F7F" w:themeColor="text1" w:themeTint="80"/>
          <w:sz w:val="20"/>
          <w:szCs w:val="20"/>
        </w:rPr>
        <w:t>,</w:t>
      </w:r>
      <w:r w:rsidRPr="00B80858" w:rsidR="004B231F">
        <w:rPr>
          <w:rFonts w:ascii="Arial" w:hAnsi="Arial" w:cs="Arial"/>
          <w:color w:val="7F7F7F" w:themeColor="text1" w:themeTint="80"/>
          <w:sz w:val="20"/>
          <w:szCs w:val="20"/>
        </w:rPr>
        <w:t xml:space="preserve"> </w:t>
      </w:r>
      <w:r w:rsidRPr="00B80858" w:rsidR="003058BC">
        <w:rPr>
          <w:rFonts w:ascii="Arial" w:hAnsi="Arial" w:cs="Arial"/>
          <w:color w:val="7F7F7F" w:themeColor="text1" w:themeTint="80"/>
          <w:sz w:val="20"/>
          <w:szCs w:val="20"/>
        </w:rPr>
        <w:t xml:space="preserve">to explain </w:t>
      </w:r>
      <w:r w:rsidRPr="00B80858" w:rsidR="004B231F">
        <w:rPr>
          <w:rFonts w:ascii="Arial" w:hAnsi="Arial" w:cs="Arial"/>
          <w:color w:val="7F7F7F" w:themeColor="text1" w:themeTint="80"/>
          <w:sz w:val="20"/>
          <w:szCs w:val="20"/>
        </w:rPr>
        <w:t xml:space="preserve">what we have done during the </w:t>
      </w:r>
      <w:r w:rsidRPr="00B80858" w:rsidR="00855DE3">
        <w:rPr>
          <w:rFonts w:ascii="Arial" w:hAnsi="Arial" w:cs="Arial"/>
          <w:color w:val="7F7F7F" w:themeColor="text1" w:themeTint="80"/>
          <w:sz w:val="20"/>
          <w:szCs w:val="20"/>
        </w:rPr>
        <w:t xml:space="preserve">Scheme </w:t>
      </w:r>
      <w:r w:rsidRPr="00B80858" w:rsidR="004B231F">
        <w:rPr>
          <w:rFonts w:ascii="Arial" w:hAnsi="Arial" w:cs="Arial"/>
          <w:color w:val="7F7F7F" w:themeColor="text1" w:themeTint="80"/>
          <w:sz w:val="20"/>
          <w:szCs w:val="20"/>
        </w:rPr>
        <w:t xml:space="preserve">year </w:t>
      </w:r>
      <w:r w:rsidRPr="00B80858" w:rsidR="001F00D6">
        <w:rPr>
          <w:rFonts w:ascii="Arial" w:hAnsi="Arial" w:cs="Arial"/>
          <w:color w:val="7F7F7F" w:themeColor="text1" w:themeTint="80"/>
          <w:sz w:val="20"/>
          <w:szCs w:val="20"/>
        </w:rPr>
        <w:t>ending</w:t>
      </w:r>
      <w:r w:rsidRPr="00B80858" w:rsidR="00675F60">
        <w:rPr>
          <w:rFonts w:ascii="Arial" w:hAnsi="Arial" w:cs="Arial"/>
          <w:color w:val="7F7F7F" w:themeColor="text1" w:themeTint="80"/>
          <w:sz w:val="20"/>
          <w:szCs w:val="20"/>
        </w:rPr>
        <w:t xml:space="preserve"> </w:t>
      </w:r>
      <w:bookmarkStart w:id="6" w:name="Bm_SchemeYearEndDate_Arial14_7F7F7F"/>
      <w:r w:rsidRPr="00B80858" w:rsidR="009A3E2F">
        <w:rPr>
          <w:rFonts w:ascii="Arial" w:hAnsi="Arial" w:cs="Arial"/>
          <w:color w:val="7F7F7F" w:themeColor="text1" w:themeTint="80"/>
          <w:sz w:val="20"/>
          <w:szCs w:val="20"/>
        </w:rPr>
        <w:t>31 December 2024</w:t>
      </w:r>
      <w:bookmarkEnd w:id="6"/>
      <w:r w:rsidRPr="00B80858" w:rsidR="009A3E2F">
        <w:rPr>
          <w:rFonts w:ascii="Arial" w:hAnsi="Arial" w:cs="Arial"/>
          <w:color w:val="7F7F7F" w:themeColor="text1" w:themeTint="80"/>
          <w:sz w:val="20"/>
          <w:szCs w:val="20"/>
        </w:rPr>
        <w:t xml:space="preserve"> </w:t>
      </w:r>
      <w:r w:rsidRPr="00B80858" w:rsidR="00D47B5D">
        <w:rPr>
          <w:rFonts w:ascii="Arial" w:hAnsi="Arial" w:cs="Arial"/>
          <w:color w:val="7F7F7F" w:themeColor="text1" w:themeTint="80"/>
          <w:sz w:val="20"/>
          <w:szCs w:val="20"/>
        </w:rPr>
        <w:t xml:space="preserve">to </w:t>
      </w:r>
      <w:r w:rsidRPr="00B80858" w:rsidR="002823D6">
        <w:rPr>
          <w:rFonts w:ascii="Arial" w:hAnsi="Arial" w:cs="Arial"/>
          <w:color w:val="7F7F7F" w:themeColor="text1" w:themeTint="80"/>
          <w:sz w:val="20"/>
          <w:szCs w:val="20"/>
        </w:rPr>
        <w:t xml:space="preserve">achieve certain policies and objectives set out in the </w:t>
      </w:r>
      <w:r w:rsidRPr="00B80858" w:rsidR="003058BC">
        <w:rPr>
          <w:rFonts w:ascii="Arial" w:hAnsi="Arial" w:cs="Arial"/>
          <w:color w:val="7F7F7F" w:themeColor="text1" w:themeTint="80"/>
          <w:sz w:val="20"/>
          <w:szCs w:val="20"/>
        </w:rPr>
        <w:t>Statement of Investment Principles (</w:t>
      </w:r>
      <w:r w:rsidRPr="00B80858" w:rsidR="00675F60">
        <w:rPr>
          <w:rFonts w:ascii="Arial" w:hAnsi="Arial" w:cs="Arial"/>
          <w:color w:val="7F7F7F" w:themeColor="text1" w:themeTint="80"/>
          <w:sz w:val="20"/>
          <w:szCs w:val="20"/>
        </w:rPr>
        <w:t>“</w:t>
      </w:r>
      <w:r w:rsidRPr="00B80858" w:rsidR="003058BC">
        <w:rPr>
          <w:rFonts w:ascii="Arial" w:hAnsi="Arial" w:cs="Arial"/>
          <w:color w:val="7F7F7F" w:themeColor="text1" w:themeTint="80"/>
          <w:sz w:val="20"/>
          <w:szCs w:val="20"/>
        </w:rPr>
        <w:t>SIP</w:t>
      </w:r>
      <w:r w:rsidRPr="00B80858" w:rsidR="00005D1D">
        <w:rPr>
          <w:rFonts w:ascii="Arial" w:hAnsi="Arial" w:cs="Arial"/>
          <w:color w:val="7F7F7F" w:themeColor="text1" w:themeTint="80"/>
          <w:sz w:val="20"/>
          <w:szCs w:val="20"/>
        </w:rPr>
        <w:t>”</w:t>
      </w:r>
      <w:r w:rsidRPr="00B80858" w:rsidR="003058BC">
        <w:rPr>
          <w:rFonts w:ascii="Arial" w:hAnsi="Arial" w:cs="Arial"/>
          <w:color w:val="7F7F7F" w:themeColor="text1" w:themeTint="80"/>
          <w:sz w:val="20"/>
          <w:szCs w:val="20"/>
        </w:rPr>
        <w:t>). It includes:</w:t>
      </w:r>
    </w:p>
    <w:p w:rsidR="003F0FD9" w14:paraId="1371CD51" w14:textId="77777777">
      <w:pPr>
        <w:pStyle w:val="ListParagraph"/>
        <w:numPr>
          <w:ilvl w:val="0"/>
          <w:numId w:val="8"/>
        </w:numPr>
        <w:tabs>
          <w:tab w:val="num" w:pos="426"/>
        </w:tabs>
        <w:spacing w:before="120" w:after="240" w:line="240" w:lineRule="auto"/>
        <w:ind w:left="425" w:right="-3136" w:hanging="437"/>
        <w:jc w:val="both"/>
        <w:rPr>
          <w:rFonts w:ascii="Arial" w:hAnsi="Arial" w:cs="Arial"/>
          <w:sz w:val="20"/>
          <w:szCs w:val="20"/>
        </w:rPr>
      </w:pPr>
      <w:r w:rsidRPr="00D818D2">
        <w:rPr>
          <w:rFonts w:ascii="Arial" w:hAnsi="Arial" w:cs="Arial"/>
          <w:sz w:val="20"/>
          <w:szCs w:val="20"/>
        </w:rPr>
        <w:t xml:space="preserve">How </w:t>
      </w:r>
      <w:r w:rsidRPr="00D818D2" w:rsidR="004B231F">
        <w:rPr>
          <w:rFonts w:ascii="Arial" w:hAnsi="Arial" w:cs="Arial"/>
          <w:sz w:val="20"/>
          <w:szCs w:val="20"/>
        </w:rPr>
        <w:t>our</w:t>
      </w:r>
      <w:r w:rsidRPr="00D818D2">
        <w:rPr>
          <w:rFonts w:ascii="Arial" w:hAnsi="Arial" w:cs="Arial"/>
          <w:sz w:val="20"/>
          <w:szCs w:val="20"/>
        </w:rPr>
        <w:t xml:space="preserve"> </w:t>
      </w:r>
      <w:r w:rsidRPr="00D818D2" w:rsidR="005C26F8">
        <w:rPr>
          <w:rFonts w:ascii="Arial" w:hAnsi="Arial" w:cs="Arial"/>
          <w:sz w:val="20"/>
          <w:szCs w:val="20"/>
        </w:rPr>
        <w:t xml:space="preserve">policies </w:t>
      </w:r>
      <w:r w:rsidRPr="00D818D2" w:rsidR="00975872">
        <w:rPr>
          <w:rFonts w:ascii="Arial" w:hAnsi="Arial" w:cs="Arial"/>
          <w:sz w:val="20"/>
          <w:szCs w:val="20"/>
        </w:rPr>
        <w:t>in the SIP about</w:t>
      </w:r>
      <w:r w:rsidRPr="00D818D2" w:rsidR="005C26F8">
        <w:rPr>
          <w:rFonts w:ascii="Arial" w:hAnsi="Arial" w:cs="Arial"/>
          <w:sz w:val="20"/>
          <w:szCs w:val="20"/>
        </w:rPr>
        <w:t xml:space="preserve"> </w:t>
      </w:r>
      <w:r w:rsidRPr="00D818D2" w:rsidR="00975872">
        <w:rPr>
          <w:rFonts w:ascii="Arial" w:hAnsi="Arial" w:cs="Arial"/>
          <w:sz w:val="20"/>
          <w:szCs w:val="20"/>
        </w:rPr>
        <w:t xml:space="preserve">asset </w:t>
      </w:r>
      <w:r w:rsidRPr="00D818D2" w:rsidR="005C26F8">
        <w:rPr>
          <w:rFonts w:ascii="Arial" w:hAnsi="Arial" w:cs="Arial"/>
          <w:sz w:val="20"/>
          <w:szCs w:val="20"/>
        </w:rPr>
        <w:t xml:space="preserve">stewardship </w:t>
      </w:r>
      <w:r w:rsidRPr="00D818D2" w:rsidR="00F00A4B">
        <w:rPr>
          <w:rFonts w:ascii="Arial" w:hAnsi="Arial" w:cs="Arial"/>
          <w:sz w:val="20"/>
          <w:szCs w:val="20"/>
        </w:rPr>
        <w:t xml:space="preserve">(including both voting and </w:t>
      </w:r>
      <w:r w:rsidRPr="00D818D2" w:rsidR="005C26F8">
        <w:rPr>
          <w:rFonts w:ascii="Arial" w:hAnsi="Arial" w:cs="Arial"/>
          <w:sz w:val="20"/>
          <w:szCs w:val="20"/>
        </w:rPr>
        <w:t xml:space="preserve">engagement </w:t>
      </w:r>
      <w:r w:rsidRPr="00D818D2" w:rsidR="00975872">
        <w:rPr>
          <w:rFonts w:ascii="Arial" w:hAnsi="Arial" w:cs="Arial"/>
          <w:sz w:val="20"/>
          <w:szCs w:val="20"/>
        </w:rPr>
        <w:t>activity</w:t>
      </w:r>
      <w:r w:rsidRPr="00D818D2" w:rsidR="00524D60">
        <w:rPr>
          <w:rFonts w:ascii="Arial" w:hAnsi="Arial" w:cs="Arial"/>
          <w:sz w:val="20"/>
          <w:szCs w:val="20"/>
        </w:rPr>
        <w:t>)</w:t>
      </w:r>
      <w:r w:rsidRPr="00D818D2" w:rsidR="00975872">
        <w:rPr>
          <w:rFonts w:ascii="Arial" w:hAnsi="Arial" w:cs="Arial"/>
          <w:sz w:val="20"/>
          <w:szCs w:val="20"/>
        </w:rPr>
        <w:t xml:space="preserve"> </w:t>
      </w:r>
      <w:r w:rsidRPr="00D818D2" w:rsidR="005C26F8">
        <w:rPr>
          <w:rFonts w:ascii="Arial" w:hAnsi="Arial" w:cs="Arial"/>
          <w:sz w:val="20"/>
          <w:szCs w:val="20"/>
        </w:rPr>
        <w:t xml:space="preserve">in </w:t>
      </w:r>
      <w:r w:rsidRPr="00D818D2" w:rsidR="00975872">
        <w:rPr>
          <w:rFonts w:ascii="Arial" w:hAnsi="Arial" w:cs="Arial"/>
          <w:sz w:val="20"/>
          <w:szCs w:val="20"/>
        </w:rPr>
        <w:t xml:space="preserve">relation to </w:t>
      </w:r>
      <w:r w:rsidRPr="00D818D2" w:rsidR="005C26F8">
        <w:rPr>
          <w:rFonts w:ascii="Arial" w:hAnsi="Arial" w:cs="Arial"/>
          <w:sz w:val="20"/>
          <w:szCs w:val="20"/>
        </w:rPr>
        <w:t>the</w:t>
      </w:r>
      <w:r w:rsidRPr="00D818D2" w:rsidR="004B231F">
        <w:rPr>
          <w:rFonts w:ascii="Arial" w:hAnsi="Arial" w:cs="Arial"/>
          <w:sz w:val="20"/>
          <w:szCs w:val="20"/>
        </w:rPr>
        <w:t xml:space="preserve"> </w:t>
      </w:r>
      <w:bookmarkStart w:id="7" w:name="Bm_SchemePlanFund_Arial10"/>
      <w:r w:rsidRPr="00D818D2" w:rsidR="009A3E2F">
        <w:rPr>
          <w:rFonts w:ascii="Arial" w:hAnsi="Arial" w:cs="Arial"/>
          <w:sz w:val="20"/>
          <w:szCs w:val="20"/>
        </w:rPr>
        <w:t>Scheme</w:t>
      </w:r>
      <w:bookmarkEnd w:id="7"/>
      <w:r w:rsidRPr="00D818D2" w:rsidR="004B231F">
        <w:rPr>
          <w:rFonts w:ascii="Arial" w:hAnsi="Arial" w:cs="Arial"/>
          <w:sz w:val="20"/>
          <w:szCs w:val="20"/>
        </w:rPr>
        <w:t>’s</w:t>
      </w:r>
      <w:r w:rsidRPr="00D818D2" w:rsidR="005C26F8">
        <w:rPr>
          <w:rFonts w:ascii="Arial" w:hAnsi="Arial" w:cs="Arial"/>
          <w:sz w:val="20"/>
          <w:szCs w:val="20"/>
        </w:rPr>
        <w:t xml:space="preserve"> investments have been followed during the year</w:t>
      </w:r>
      <w:r w:rsidRPr="00D818D2">
        <w:rPr>
          <w:rFonts w:ascii="Arial" w:hAnsi="Arial" w:cs="Arial"/>
          <w:sz w:val="20"/>
          <w:szCs w:val="20"/>
        </w:rPr>
        <w:t xml:space="preserve">; and </w:t>
      </w:r>
    </w:p>
    <w:p w:rsidR="00D818D2" w:rsidRPr="00D818D2" w:rsidP="00D818D2" w14:paraId="5196422D" w14:textId="77777777">
      <w:pPr>
        <w:pStyle w:val="ListParagraph"/>
        <w:spacing w:before="120" w:after="240" w:line="240" w:lineRule="auto"/>
        <w:ind w:left="425" w:right="-3136"/>
        <w:jc w:val="both"/>
        <w:rPr>
          <w:rFonts w:ascii="Arial" w:hAnsi="Arial" w:cs="Arial"/>
          <w:sz w:val="20"/>
          <w:szCs w:val="20"/>
        </w:rPr>
      </w:pPr>
    </w:p>
    <w:p w:rsidR="00EE19AE" w:rsidRPr="00397A3A" w:rsidP="00B80858" w14:paraId="6ACE34C4" w14:textId="44BFEF1E">
      <w:pPr>
        <w:pStyle w:val="ListParagraph"/>
        <w:numPr>
          <w:ilvl w:val="0"/>
          <w:numId w:val="8"/>
        </w:numPr>
        <w:tabs>
          <w:tab w:val="num" w:pos="426"/>
        </w:tabs>
        <w:spacing w:before="120" w:after="240" w:line="240" w:lineRule="auto"/>
        <w:ind w:left="425" w:right="-3136" w:hanging="437"/>
        <w:jc w:val="both"/>
        <w:rPr>
          <w:rFonts w:ascii="Arial" w:hAnsi="Arial" w:cs="Arial"/>
          <w:sz w:val="20"/>
          <w:szCs w:val="20"/>
        </w:rPr>
      </w:pPr>
      <w:r w:rsidRPr="00D818D2">
        <w:rPr>
          <w:rFonts w:ascii="Arial" w:hAnsi="Arial" w:cs="Arial"/>
          <w:sz w:val="20"/>
          <w:szCs w:val="20"/>
        </w:rPr>
        <w:t xml:space="preserve">How </w:t>
      </w:r>
      <w:r w:rsidRPr="00D818D2" w:rsidR="004B231F">
        <w:rPr>
          <w:rFonts w:ascii="Arial" w:hAnsi="Arial" w:cs="Arial"/>
          <w:sz w:val="20"/>
          <w:szCs w:val="20"/>
        </w:rPr>
        <w:t xml:space="preserve">we have exercised our </w:t>
      </w:r>
      <w:r w:rsidRPr="00D818D2">
        <w:rPr>
          <w:rFonts w:ascii="Arial" w:hAnsi="Arial" w:cs="Arial"/>
          <w:sz w:val="20"/>
          <w:szCs w:val="20"/>
        </w:rPr>
        <w:t xml:space="preserve">voting </w:t>
      </w:r>
      <w:r w:rsidRPr="00D818D2" w:rsidR="00C67E9C">
        <w:rPr>
          <w:rFonts w:ascii="Arial" w:hAnsi="Arial" w:cs="Arial"/>
          <w:sz w:val="20"/>
          <w:szCs w:val="20"/>
        </w:rPr>
        <w:t xml:space="preserve">rights </w:t>
      </w:r>
      <w:r w:rsidRPr="00D818D2">
        <w:rPr>
          <w:rFonts w:ascii="Arial" w:hAnsi="Arial" w:cs="Arial"/>
          <w:sz w:val="20"/>
          <w:szCs w:val="20"/>
        </w:rPr>
        <w:t xml:space="preserve">or </w:t>
      </w:r>
      <w:r w:rsidRPr="00D818D2" w:rsidR="00B40461">
        <w:rPr>
          <w:rFonts w:ascii="Arial" w:hAnsi="Arial" w:cs="Arial"/>
          <w:sz w:val="20"/>
          <w:szCs w:val="20"/>
        </w:rPr>
        <w:t xml:space="preserve">how these rights have been exercised on our </w:t>
      </w:r>
      <w:r w:rsidRPr="00D818D2">
        <w:rPr>
          <w:rFonts w:ascii="Arial" w:hAnsi="Arial" w:cs="Arial"/>
          <w:sz w:val="20"/>
          <w:szCs w:val="20"/>
        </w:rPr>
        <w:t xml:space="preserve">behalf, including the use of any proxy voting </w:t>
      </w:r>
      <w:r w:rsidRPr="00D818D2" w:rsidR="000B2722">
        <w:rPr>
          <w:rFonts w:ascii="Arial" w:hAnsi="Arial" w:cs="Arial"/>
          <w:sz w:val="20"/>
          <w:szCs w:val="20"/>
        </w:rPr>
        <w:t xml:space="preserve">advisory </w:t>
      </w:r>
      <w:r w:rsidRPr="00D818D2">
        <w:rPr>
          <w:rFonts w:ascii="Arial" w:hAnsi="Arial" w:cs="Arial"/>
          <w:sz w:val="20"/>
          <w:szCs w:val="20"/>
        </w:rPr>
        <w:t>services</w:t>
      </w:r>
      <w:r w:rsidRPr="00D818D2" w:rsidR="00F00A4B">
        <w:rPr>
          <w:rFonts w:ascii="Arial" w:hAnsi="Arial" w:cs="Arial"/>
          <w:sz w:val="20"/>
          <w:szCs w:val="20"/>
        </w:rPr>
        <w:t xml:space="preserve">, and the </w:t>
      </w:r>
      <w:r w:rsidRPr="00D818D2" w:rsidR="002D244B">
        <w:rPr>
          <w:rFonts w:ascii="Arial" w:hAnsi="Arial" w:cs="Arial"/>
          <w:sz w:val="20"/>
          <w:szCs w:val="20"/>
        </w:rPr>
        <w:t>‘</w:t>
      </w:r>
      <w:r w:rsidRPr="00D818D2" w:rsidR="00F00A4B">
        <w:rPr>
          <w:rFonts w:ascii="Arial" w:hAnsi="Arial" w:cs="Arial"/>
          <w:sz w:val="20"/>
          <w:szCs w:val="20"/>
        </w:rPr>
        <w:t>most significant</w:t>
      </w:r>
      <w:r w:rsidRPr="00D818D2" w:rsidR="002D244B">
        <w:rPr>
          <w:rFonts w:ascii="Arial" w:hAnsi="Arial" w:cs="Arial"/>
          <w:sz w:val="20"/>
          <w:szCs w:val="20"/>
        </w:rPr>
        <w:t>’</w:t>
      </w:r>
      <w:r w:rsidRPr="00D818D2" w:rsidR="00F00A4B">
        <w:rPr>
          <w:rFonts w:ascii="Arial" w:hAnsi="Arial" w:cs="Arial"/>
          <w:sz w:val="20"/>
          <w:szCs w:val="20"/>
        </w:rPr>
        <w:t xml:space="preserve"> votes cast over the reporting year</w:t>
      </w:r>
      <w:r w:rsidRPr="00D818D2">
        <w:rPr>
          <w:rFonts w:ascii="Arial" w:hAnsi="Arial" w:cs="Arial"/>
          <w:sz w:val="20"/>
          <w:szCs w:val="20"/>
        </w:rPr>
        <w:t>.</w:t>
      </w:r>
    </w:p>
    <w:tbl>
      <w:tblPr>
        <w:tblStyle w:val="TableGrid0"/>
        <w:tblW w:w="10205" w:type="dxa"/>
        <w:tblBorders>
          <w:top w:val="single" w:sz="12" w:space="0" w:color="0083A9"/>
          <w:left w:val="single" w:sz="12" w:space="0" w:color="0083A9"/>
          <w:bottom w:val="single" w:sz="12" w:space="0" w:color="0083A9"/>
          <w:right w:val="single" w:sz="12" w:space="0" w:color="0083A9"/>
          <w:insideH w:val="none" w:sz="0" w:space="0" w:color="auto"/>
          <w:insideV w:val="none" w:sz="0" w:space="0" w:color="auto"/>
        </w:tblBorders>
        <w:tblCellMar>
          <w:top w:w="198" w:type="dxa"/>
          <w:left w:w="284" w:type="dxa"/>
          <w:bottom w:w="198" w:type="dxa"/>
          <w:right w:w="284" w:type="dxa"/>
        </w:tblCellMar>
        <w:tblLook w:val="04A0"/>
      </w:tblPr>
      <w:tblGrid>
        <w:gridCol w:w="10205"/>
      </w:tblGrid>
      <w:tr w14:paraId="7B3B3A91" w14:textId="77777777" w:rsidTr="00B80858">
        <w:tblPrEx>
          <w:tblW w:w="10205" w:type="dxa"/>
          <w:tblLook w:val="04A0"/>
        </w:tblPrEx>
        <w:trPr>
          <w:trHeight w:val="1871"/>
        </w:trPr>
        <w:tc>
          <w:tcPr>
            <w:tcW w:w="10205" w:type="dxa"/>
          </w:tcPr>
          <w:p w:rsidR="00013631" w:rsidRPr="00B80858" w:rsidP="00B80858" w14:paraId="2BF156EF" w14:textId="77777777">
            <w:pPr>
              <w:spacing w:line="252" w:lineRule="auto"/>
              <w:jc w:val="both"/>
              <w:rPr>
                <w:rFonts w:ascii="Arial" w:hAnsi="Arial" w:cs="Arial"/>
                <w:b/>
                <w:bCs/>
                <w:sz w:val="20"/>
                <w:szCs w:val="20"/>
              </w:rPr>
            </w:pPr>
            <w:r w:rsidRPr="00B80858">
              <w:rPr>
                <w:rFonts w:ascii="Arial" w:hAnsi="Arial" w:cs="Arial"/>
                <w:b/>
                <w:bCs/>
                <w:sz w:val="20"/>
                <w:szCs w:val="20"/>
              </w:rPr>
              <w:t>Our conclusion</w:t>
            </w:r>
          </w:p>
          <w:p w:rsidR="00013631" w:rsidRPr="00B80858" w:rsidP="00B80858" w14:paraId="64A0D3AE" w14:textId="77777777">
            <w:pPr>
              <w:spacing w:line="252" w:lineRule="auto"/>
              <w:jc w:val="both"/>
              <w:rPr>
                <w:rFonts w:ascii="Arial" w:hAnsi="Arial" w:cs="Arial"/>
                <w:sz w:val="20"/>
                <w:szCs w:val="20"/>
              </w:rPr>
            </w:pPr>
            <w:r w:rsidRPr="00B80858">
              <w:rPr>
                <w:rFonts w:ascii="Arial" w:hAnsi="Arial" w:cs="Arial"/>
                <w:sz w:val="20"/>
                <w:szCs w:val="20"/>
              </w:rPr>
              <w:t xml:space="preserve">Based on the activity </w:t>
            </w:r>
            <w:r w:rsidRPr="00B80858" w:rsidR="00B40461">
              <w:rPr>
                <w:rFonts w:ascii="Arial" w:hAnsi="Arial" w:cs="Arial"/>
                <w:sz w:val="20"/>
                <w:szCs w:val="20"/>
              </w:rPr>
              <w:t xml:space="preserve">we have undertaken during </w:t>
            </w:r>
            <w:r w:rsidRPr="00B80858">
              <w:rPr>
                <w:rFonts w:ascii="Arial" w:hAnsi="Arial" w:cs="Arial"/>
                <w:sz w:val="20"/>
                <w:szCs w:val="20"/>
              </w:rPr>
              <w:t xml:space="preserve">the year, </w:t>
            </w:r>
            <w:r w:rsidRPr="00B80858" w:rsidR="00B40461">
              <w:rPr>
                <w:rFonts w:ascii="Arial" w:hAnsi="Arial" w:cs="Arial"/>
                <w:sz w:val="20"/>
                <w:szCs w:val="20"/>
              </w:rPr>
              <w:t xml:space="preserve">we </w:t>
            </w:r>
            <w:r w:rsidRPr="00B80858">
              <w:rPr>
                <w:rFonts w:ascii="Arial" w:hAnsi="Arial" w:cs="Arial"/>
                <w:sz w:val="20"/>
                <w:szCs w:val="20"/>
              </w:rPr>
              <w:t>believe that the polic</w:t>
            </w:r>
            <w:r w:rsidRPr="00B80858" w:rsidR="00874132">
              <w:rPr>
                <w:rFonts w:ascii="Arial" w:hAnsi="Arial" w:cs="Arial"/>
                <w:sz w:val="20"/>
                <w:szCs w:val="20"/>
              </w:rPr>
              <w:t>ies</w:t>
            </w:r>
            <w:r w:rsidRPr="00B80858">
              <w:rPr>
                <w:rFonts w:ascii="Arial" w:hAnsi="Arial" w:cs="Arial"/>
                <w:sz w:val="20"/>
                <w:szCs w:val="20"/>
              </w:rPr>
              <w:t xml:space="preserve"> set out in the SIP ha</w:t>
            </w:r>
            <w:r w:rsidRPr="00B80858" w:rsidR="00874132">
              <w:rPr>
                <w:rFonts w:ascii="Arial" w:hAnsi="Arial" w:cs="Arial"/>
                <w:sz w:val="20"/>
                <w:szCs w:val="20"/>
              </w:rPr>
              <w:t>ve</w:t>
            </w:r>
            <w:r w:rsidRPr="00B80858">
              <w:rPr>
                <w:rFonts w:ascii="Arial" w:hAnsi="Arial" w:cs="Arial"/>
                <w:sz w:val="20"/>
                <w:szCs w:val="20"/>
              </w:rPr>
              <w:t xml:space="preserve"> been implemented effectively. </w:t>
            </w:r>
          </w:p>
          <w:p w:rsidR="0011601D" w:rsidRPr="00514F82" w:rsidP="00B80858" w14:paraId="08E5B7A5" w14:textId="77777777">
            <w:pPr>
              <w:spacing w:line="252" w:lineRule="auto"/>
              <w:jc w:val="both"/>
              <w:rPr>
                <w:rFonts w:ascii="Arial" w:hAnsi="Arial" w:cs="Arial"/>
                <w:sz w:val="20"/>
                <w:szCs w:val="20"/>
              </w:rPr>
            </w:pPr>
          </w:p>
          <w:p w:rsidR="00EA43EA" w:rsidP="00B80858" w14:paraId="4F0B2FF2" w14:textId="1E4DB465">
            <w:pPr>
              <w:spacing w:line="252" w:lineRule="auto"/>
              <w:jc w:val="both"/>
              <w:rPr>
                <w:rFonts w:ascii="Arial" w:hAnsi="Arial" w:cs="Arial"/>
                <w:sz w:val="20"/>
                <w:szCs w:val="20"/>
              </w:rPr>
            </w:pPr>
            <w:r w:rsidRPr="00514F82">
              <w:rPr>
                <w:rFonts w:ascii="Arial" w:hAnsi="Arial" w:cs="Arial"/>
                <w:sz w:val="20"/>
                <w:szCs w:val="20"/>
              </w:rPr>
              <w:t xml:space="preserve">In our view, the Scheme’s </w:t>
            </w:r>
            <w:r w:rsidRPr="00514F82" w:rsidR="002A5D0A">
              <w:rPr>
                <w:rFonts w:ascii="Arial" w:hAnsi="Arial" w:cs="Arial"/>
                <w:sz w:val="20"/>
                <w:szCs w:val="20"/>
              </w:rPr>
              <w:t xml:space="preserve">underlying </w:t>
            </w:r>
            <w:r w:rsidRPr="00514F82">
              <w:rPr>
                <w:rFonts w:ascii="Arial" w:hAnsi="Arial" w:cs="Arial"/>
                <w:sz w:val="20"/>
                <w:szCs w:val="20"/>
              </w:rPr>
              <w:t xml:space="preserve">investment managers </w:t>
            </w:r>
            <w:r w:rsidRPr="00514F82" w:rsidR="002A5D0A">
              <w:rPr>
                <w:rFonts w:ascii="Arial" w:hAnsi="Arial" w:cs="Arial"/>
                <w:sz w:val="20"/>
                <w:szCs w:val="20"/>
              </w:rPr>
              <w:t xml:space="preserve">(chosen by </w:t>
            </w:r>
            <w:r w:rsidRPr="002C7327" w:rsidR="002C7327">
              <w:rPr>
                <w:rFonts w:ascii="Arial" w:hAnsi="Arial" w:cs="Arial"/>
                <w:sz w:val="20"/>
                <w:szCs w:val="20"/>
              </w:rPr>
              <w:t xml:space="preserve">Aon </w:t>
            </w:r>
            <w:r w:rsidRPr="00514F82" w:rsidR="002A5D0A">
              <w:rPr>
                <w:rFonts w:ascii="Arial" w:hAnsi="Arial" w:cs="Arial"/>
                <w:sz w:val="20"/>
                <w:szCs w:val="20"/>
              </w:rPr>
              <w:t xml:space="preserve">as our fiduciary manager) </w:t>
            </w:r>
            <w:r w:rsidRPr="00514F82">
              <w:rPr>
                <w:rFonts w:ascii="Arial" w:hAnsi="Arial" w:cs="Arial"/>
                <w:sz w:val="20"/>
                <w:szCs w:val="20"/>
              </w:rPr>
              <w:t xml:space="preserve">were able to disclose </w:t>
            </w:r>
            <w:r w:rsidRPr="00514F82" w:rsidR="00E5433D">
              <w:rPr>
                <w:rFonts w:ascii="Arial" w:hAnsi="Arial" w:cs="Arial"/>
                <w:sz w:val="20"/>
                <w:szCs w:val="20"/>
              </w:rPr>
              <w:t xml:space="preserve">adequate </w:t>
            </w:r>
            <w:r w:rsidRPr="00514F82">
              <w:rPr>
                <w:rFonts w:ascii="Arial" w:hAnsi="Arial" w:cs="Arial"/>
                <w:sz w:val="20"/>
                <w:szCs w:val="20"/>
              </w:rPr>
              <w:t>evidence of voting and/or engagement activity</w:t>
            </w:r>
            <w:r w:rsidRPr="00514F82" w:rsidR="002A5D0A">
              <w:rPr>
                <w:rFonts w:ascii="Arial" w:hAnsi="Arial" w:cs="Arial"/>
                <w:sz w:val="20"/>
                <w:szCs w:val="20"/>
              </w:rPr>
              <w:t xml:space="preserve">. We believe that the engagement activity carried out by Aon as our fiduciary manager </w:t>
            </w:r>
            <w:r w:rsidRPr="00514F82">
              <w:rPr>
                <w:rFonts w:ascii="Arial" w:hAnsi="Arial" w:cs="Arial"/>
                <w:sz w:val="20"/>
                <w:szCs w:val="20"/>
              </w:rPr>
              <w:t xml:space="preserve">align with our stewardship </w:t>
            </w:r>
            <w:r w:rsidRPr="00514F82" w:rsidR="00533DA3">
              <w:rPr>
                <w:rFonts w:ascii="Arial" w:hAnsi="Arial" w:cs="Arial"/>
                <w:sz w:val="20"/>
                <w:szCs w:val="20"/>
              </w:rPr>
              <w:t>priorities and that</w:t>
            </w:r>
            <w:r w:rsidRPr="00514F82" w:rsidR="00AA4B4D">
              <w:rPr>
                <w:rFonts w:ascii="Arial" w:hAnsi="Arial" w:cs="Arial"/>
                <w:sz w:val="20"/>
                <w:szCs w:val="20"/>
              </w:rPr>
              <w:t xml:space="preserve"> o</w:t>
            </w:r>
            <w:r w:rsidRPr="00514F82">
              <w:rPr>
                <w:rFonts w:ascii="Arial" w:hAnsi="Arial" w:cs="Arial"/>
                <w:sz w:val="20"/>
                <w:szCs w:val="20"/>
              </w:rPr>
              <w:t xml:space="preserve">ur voting </w:t>
            </w:r>
            <w:r w:rsidR="00A07829">
              <w:rPr>
                <w:rFonts w:ascii="Arial" w:hAnsi="Arial" w:cs="Arial"/>
                <w:sz w:val="20"/>
                <w:szCs w:val="20"/>
              </w:rPr>
              <w:t>policy</w:t>
            </w:r>
            <w:r w:rsidRPr="00514F82" w:rsidR="00A07829">
              <w:rPr>
                <w:rFonts w:ascii="Arial" w:hAnsi="Arial" w:cs="Arial"/>
                <w:sz w:val="20"/>
                <w:szCs w:val="20"/>
              </w:rPr>
              <w:t xml:space="preserve"> </w:t>
            </w:r>
            <w:r w:rsidRPr="00514F82">
              <w:rPr>
                <w:rFonts w:ascii="Arial" w:hAnsi="Arial" w:cs="Arial"/>
                <w:sz w:val="20"/>
                <w:szCs w:val="20"/>
              </w:rPr>
              <w:t>have been implemented effectively.</w:t>
            </w:r>
            <w:bookmarkStart w:id="8" w:name="Bm_Conclusion_Arial10"/>
            <w:bookmarkEnd w:id="8"/>
          </w:p>
        </w:tc>
      </w:tr>
    </w:tbl>
    <w:p w:rsidR="008066D6" w:rsidP="00B80858" w14:paraId="5D538129" w14:textId="3F76CC22">
      <w:pPr>
        <w:spacing w:after="0"/>
        <w:rPr>
          <w:rFonts w:ascii="Arial" w:hAnsi="Arial" w:cs="Arial"/>
          <w:sz w:val="28"/>
          <w:szCs w:val="28"/>
        </w:rPr>
      </w:pPr>
      <w:r w:rsidRPr="00B80858">
        <w:rPr>
          <w:rFonts w:ascii="Arial" w:hAnsi="Arial" w:cs="Arial"/>
          <w:b/>
          <w:bCs/>
          <w:noProof/>
          <w:sz w:val="20"/>
          <w:szCs w:val="20"/>
        </w:rPr>
        <mc:AlternateContent>
          <mc:Choice Requires="wps">
            <w:drawing>
              <wp:anchor distT="0" distB="0" distL="114300" distR="114300" simplePos="0" relativeHeight="251658240" behindDoc="0" locked="0" layoutInCell="1" allowOverlap="1">
                <wp:simplePos x="0" y="0"/>
                <wp:positionH relativeFrom="margin">
                  <wp:posOffset>4717415</wp:posOffset>
                </wp:positionH>
                <wp:positionV relativeFrom="paragraph">
                  <wp:posOffset>222250</wp:posOffset>
                </wp:positionV>
                <wp:extent cx="1790700" cy="4314825"/>
                <wp:effectExtent l="0" t="0" r="0" b="9525"/>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790700" cy="4314825"/>
                        </a:xfrm>
                        <a:prstGeom prst="rect">
                          <a:avLst/>
                        </a:prstGeom>
                        <a:solidFill>
                          <a:srgbClr val="DAEBF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102F4" w:rsidRPr="00C67E9C" w:rsidP="000102F4" w14:textId="77777777">
                            <w:pPr>
                              <w:rPr>
                                <w:rFonts w:ascii="Arial" w:hAnsi="Arial" w:cs="Arial"/>
                                <w:color w:val="0083A9"/>
                                <w:sz w:val="24"/>
                                <w:szCs w:val="24"/>
                              </w:rPr>
                            </w:pPr>
                            <w:r w:rsidRPr="00C67E9C">
                              <w:rPr>
                                <w:rFonts w:ascii="Arial" w:hAnsi="Arial" w:cs="Arial"/>
                                <w:color w:val="0083A9"/>
                                <w:sz w:val="24"/>
                                <w:szCs w:val="24"/>
                              </w:rPr>
                              <w:t>What is stewardship?</w:t>
                            </w:r>
                          </w:p>
                          <w:p w:rsidR="000102F4" w:rsidRPr="00D71C61" w:rsidP="000102F4" w14:textId="77777777">
                            <w:pPr>
                              <w:spacing w:after="60"/>
                              <w:rPr>
                                <w:rFonts w:ascii="Arial" w:hAnsi="Arial" w:cs="Arial"/>
                                <w:color w:val="7F7F7F" w:themeColor="text1" w:themeTint="80"/>
                                <w:sz w:val="20"/>
                                <w:szCs w:val="20"/>
                              </w:rPr>
                            </w:pPr>
                            <w:r w:rsidRPr="00D71C61">
                              <w:rPr>
                                <w:rFonts w:ascii="Arial" w:hAnsi="Arial" w:cs="Arial"/>
                                <w:color w:val="7F7F7F" w:themeColor="text1" w:themeTint="80"/>
                                <w:sz w:val="20"/>
                                <w:szCs w:val="20"/>
                              </w:rPr>
                              <w:t xml:space="preserve">Stewardship is investors using their influence over current or potential investees/issuers, policy makers, service providers and other stakeholders to create long-term value for clients and beneficiaries leading to sustainable benefits for the economy, the environment and society. </w:t>
                            </w:r>
                          </w:p>
                          <w:p w:rsidR="000102F4" w:rsidRPr="00D71C61" w:rsidP="000102F4" w14:textId="77777777">
                            <w:pPr>
                              <w:spacing w:after="60"/>
                              <w:rPr>
                                <w:rFonts w:ascii="Arial" w:hAnsi="Arial" w:cs="Arial"/>
                                <w:color w:val="7F7F7F" w:themeColor="text1" w:themeTint="80"/>
                                <w:sz w:val="20"/>
                                <w:szCs w:val="20"/>
                              </w:rPr>
                            </w:pPr>
                            <w:r w:rsidRPr="00D71C61">
                              <w:rPr>
                                <w:rFonts w:ascii="Arial" w:hAnsi="Arial" w:cs="Arial"/>
                                <w:color w:val="7F7F7F" w:themeColor="text1" w:themeTint="80"/>
                                <w:sz w:val="20"/>
                                <w:szCs w:val="20"/>
                              </w:rPr>
                              <w:t xml:space="preserve">This includes prioritising which </w:t>
                            </w:r>
                            <w:r w:rsidRPr="00486F21" w:rsidR="00486F21">
                              <w:rPr>
                                <w:rFonts w:ascii="Arial" w:hAnsi="Arial" w:cs="Arial"/>
                                <w:color w:val="7F7F7F" w:themeColor="text1" w:themeTint="80"/>
                                <w:sz w:val="20"/>
                                <w:szCs w:val="20"/>
                              </w:rPr>
                              <w:t xml:space="preserve">Environmental Social Governance </w:t>
                            </w:r>
                            <w:r w:rsidR="00486F21">
                              <w:rPr>
                                <w:rFonts w:ascii="Arial" w:hAnsi="Arial" w:cs="Arial"/>
                                <w:color w:val="7F7F7F" w:themeColor="text1" w:themeTint="80"/>
                                <w:sz w:val="20"/>
                                <w:szCs w:val="20"/>
                              </w:rPr>
                              <w:t>(“</w:t>
                            </w:r>
                            <w:r w:rsidRPr="00D71C61">
                              <w:rPr>
                                <w:rFonts w:ascii="Arial" w:hAnsi="Arial" w:cs="Arial"/>
                                <w:color w:val="7F7F7F" w:themeColor="text1" w:themeTint="80"/>
                                <w:sz w:val="20"/>
                                <w:szCs w:val="20"/>
                              </w:rPr>
                              <w:t>ESG</w:t>
                            </w:r>
                            <w:r w:rsidR="00486F21">
                              <w:rPr>
                                <w:rFonts w:ascii="Arial" w:hAnsi="Arial" w:cs="Arial"/>
                                <w:color w:val="7F7F7F" w:themeColor="text1" w:themeTint="80"/>
                                <w:sz w:val="20"/>
                                <w:szCs w:val="20"/>
                              </w:rPr>
                              <w:t>”)</w:t>
                            </w:r>
                            <w:r w:rsidRPr="00D71C61">
                              <w:rPr>
                                <w:rFonts w:ascii="Arial" w:hAnsi="Arial" w:cs="Arial"/>
                                <w:color w:val="7F7F7F" w:themeColor="text1" w:themeTint="80"/>
                                <w:sz w:val="20"/>
                                <w:szCs w:val="20"/>
                              </w:rPr>
                              <w:t xml:space="preserve"> issues to focus on, engaging with investees/issuers, and exercising voting rights. </w:t>
                            </w:r>
                          </w:p>
                          <w:p w:rsidR="000102F4" w:rsidRPr="00D71C61" w:rsidP="000102F4" w14:textId="77777777">
                            <w:pPr>
                              <w:spacing w:after="60"/>
                              <w:rPr>
                                <w:rFonts w:ascii="Arial" w:hAnsi="Arial" w:cs="Arial"/>
                                <w:color w:val="7F7F7F" w:themeColor="text1" w:themeTint="80"/>
                                <w:sz w:val="20"/>
                                <w:szCs w:val="20"/>
                              </w:rPr>
                            </w:pPr>
                            <w:r w:rsidRPr="00D71C61">
                              <w:rPr>
                                <w:rFonts w:ascii="Arial" w:hAnsi="Arial" w:cs="Arial"/>
                                <w:color w:val="7F7F7F" w:themeColor="text1" w:themeTint="80"/>
                                <w:sz w:val="20"/>
                                <w:szCs w:val="20"/>
                              </w:rPr>
                              <w:t xml:space="preserve">Differing ownership structures means stewardship practices often differ between asset classes. </w:t>
                            </w:r>
                          </w:p>
                          <w:p w:rsidR="000102F4" w:rsidRPr="00D71C61" w:rsidP="000102F4" w14:textId="77777777">
                            <w:pPr>
                              <w:spacing w:after="60"/>
                              <w:rPr>
                                <w:rFonts w:ascii="Arial" w:hAnsi="Arial" w:cs="Arial"/>
                                <w:i/>
                                <w:iCs/>
                                <w:color w:val="7F7F7F" w:themeColor="text1" w:themeTint="80"/>
                                <w:sz w:val="18"/>
                                <w:szCs w:val="18"/>
                              </w:rPr>
                            </w:pPr>
                            <w:r w:rsidRPr="00D71C61">
                              <w:rPr>
                                <w:rFonts w:ascii="Arial" w:hAnsi="Arial" w:cs="Arial"/>
                                <w:i/>
                                <w:iCs/>
                                <w:color w:val="7F7F7F" w:themeColor="text1" w:themeTint="80"/>
                                <w:sz w:val="18"/>
                                <w:szCs w:val="18"/>
                              </w:rPr>
                              <w:t>Source: UN PRI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141pt;height:339.75pt;margin-top:17.5pt;margin-left:371.45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daebf1" stroked="f" strokeweight="1pt">
                <v:textbox>
                  <w:txbxContent>
                    <w:p w:rsidR="000102F4" w:rsidRPr="00C67E9C" w:rsidP="000102F4" w14:paraId="60372910" w14:textId="77777777">
                      <w:pPr>
                        <w:rPr>
                          <w:rFonts w:ascii="Arial" w:hAnsi="Arial" w:cs="Arial"/>
                          <w:color w:val="0083A9"/>
                          <w:sz w:val="24"/>
                          <w:szCs w:val="24"/>
                        </w:rPr>
                      </w:pPr>
                      <w:r w:rsidRPr="00C67E9C">
                        <w:rPr>
                          <w:rFonts w:ascii="Arial" w:hAnsi="Arial" w:cs="Arial"/>
                          <w:color w:val="0083A9"/>
                          <w:sz w:val="24"/>
                          <w:szCs w:val="24"/>
                        </w:rPr>
                        <w:t>What is stewardship?</w:t>
                      </w:r>
                    </w:p>
                    <w:p w:rsidR="000102F4" w:rsidRPr="00D71C61" w:rsidP="000102F4" w14:paraId="3F2F41B9" w14:textId="77777777">
                      <w:pPr>
                        <w:spacing w:after="60"/>
                        <w:rPr>
                          <w:rFonts w:ascii="Arial" w:hAnsi="Arial" w:cs="Arial"/>
                          <w:color w:val="7F7F7F" w:themeColor="text1" w:themeTint="80"/>
                          <w:sz w:val="20"/>
                          <w:szCs w:val="20"/>
                        </w:rPr>
                      </w:pPr>
                      <w:r w:rsidRPr="00D71C61">
                        <w:rPr>
                          <w:rFonts w:ascii="Arial" w:hAnsi="Arial" w:cs="Arial"/>
                          <w:color w:val="7F7F7F" w:themeColor="text1" w:themeTint="80"/>
                          <w:sz w:val="20"/>
                          <w:szCs w:val="20"/>
                        </w:rPr>
                        <w:t xml:space="preserve">Stewardship is investors using their influence over current or potential investees/issuers, policy makers, service providers and other stakeholders to create long-term value for clients and beneficiaries leading to sustainable benefits for the economy, the environment and society. </w:t>
                      </w:r>
                    </w:p>
                    <w:p w:rsidR="000102F4" w:rsidRPr="00D71C61" w:rsidP="000102F4" w14:paraId="12F93A2A" w14:textId="77777777">
                      <w:pPr>
                        <w:spacing w:after="60"/>
                        <w:rPr>
                          <w:rFonts w:ascii="Arial" w:hAnsi="Arial" w:cs="Arial"/>
                          <w:color w:val="7F7F7F" w:themeColor="text1" w:themeTint="80"/>
                          <w:sz w:val="20"/>
                          <w:szCs w:val="20"/>
                        </w:rPr>
                      </w:pPr>
                      <w:r w:rsidRPr="00D71C61">
                        <w:rPr>
                          <w:rFonts w:ascii="Arial" w:hAnsi="Arial" w:cs="Arial"/>
                          <w:color w:val="7F7F7F" w:themeColor="text1" w:themeTint="80"/>
                          <w:sz w:val="20"/>
                          <w:szCs w:val="20"/>
                        </w:rPr>
                        <w:t xml:space="preserve">This includes prioritising which </w:t>
                      </w:r>
                      <w:r w:rsidRPr="00486F21" w:rsidR="00486F21">
                        <w:rPr>
                          <w:rFonts w:ascii="Arial" w:hAnsi="Arial" w:cs="Arial"/>
                          <w:color w:val="7F7F7F" w:themeColor="text1" w:themeTint="80"/>
                          <w:sz w:val="20"/>
                          <w:szCs w:val="20"/>
                        </w:rPr>
                        <w:t xml:space="preserve">Environmental Social Governance </w:t>
                      </w:r>
                      <w:r w:rsidR="00486F21">
                        <w:rPr>
                          <w:rFonts w:ascii="Arial" w:hAnsi="Arial" w:cs="Arial"/>
                          <w:color w:val="7F7F7F" w:themeColor="text1" w:themeTint="80"/>
                          <w:sz w:val="20"/>
                          <w:szCs w:val="20"/>
                        </w:rPr>
                        <w:t>(“</w:t>
                      </w:r>
                      <w:r w:rsidRPr="00D71C61">
                        <w:rPr>
                          <w:rFonts w:ascii="Arial" w:hAnsi="Arial" w:cs="Arial"/>
                          <w:color w:val="7F7F7F" w:themeColor="text1" w:themeTint="80"/>
                          <w:sz w:val="20"/>
                          <w:szCs w:val="20"/>
                        </w:rPr>
                        <w:t>ESG</w:t>
                      </w:r>
                      <w:r w:rsidR="00486F21">
                        <w:rPr>
                          <w:rFonts w:ascii="Arial" w:hAnsi="Arial" w:cs="Arial"/>
                          <w:color w:val="7F7F7F" w:themeColor="text1" w:themeTint="80"/>
                          <w:sz w:val="20"/>
                          <w:szCs w:val="20"/>
                        </w:rPr>
                        <w:t>”)</w:t>
                      </w:r>
                      <w:r w:rsidRPr="00D71C61">
                        <w:rPr>
                          <w:rFonts w:ascii="Arial" w:hAnsi="Arial" w:cs="Arial"/>
                          <w:color w:val="7F7F7F" w:themeColor="text1" w:themeTint="80"/>
                          <w:sz w:val="20"/>
                          <w:szCs w:val="20"/>
                        </w:rPr>
                        <w:t xml:space="preserve"> issues to focus on, engaging with investees/issuers, and exercising voting rights. </w:t>
                      </w:r>
                    </w:p>
                    <w:p w:rsidR="000102F4" w:rsidRPr="00D71C61" w:rsidP="000102F4" w14:paraId="7E391C92" w14:textId="77777777">
                      <w:pPr>
                        <w:spacing w:after="60"/>
                        <w:rPr>
                          <w:rFonts w:ascii="Arial" w:hAnsi="Arial" w:cs="Arial"/>
                          <w:color w:val="7F7F7F" w:themeColor="text1" w:themeTint="80"/>
                          <w:sz w:val="20"/>
                          <w:szCs w:val="20"/>
                        </w:rPr>
                      </w:pPr>
                      <w:r w:rsidRPr="00D71C61">
                        <w:rPr>
                          <w:rFonts w:ascii="Arial" w:hAnsi="Arial" w:cs="Arial"/>
                          <w:color w:val="7F7F7F" w:themeColor="text1" w:themeTint="80"/>
                          <w:sz w:val="20"/>
                          <w:szCs w:val="20"/>
                        </w:rPr>
                        <w:t xml:space="preserve">Differing ownership structures means stewardship practices often differ between asset classes. </w:t>
                      </w:r>
                    </w:p>
                    <w:p w:rsidR="000102F4" w:rsidRPr="00D71C61" w:rsidP="000102F4" w14:paraId="7009F988" w14:textId="77777777">
                      <w:pPr>
                        <w:spacing w:after="60"/>
                        <w:rPr>
                          <w:rFonts w:ascii="Arial" w:hAnsi="Arial" w:cs="Arial"/>
                          <w:i/>
                          <w:iCs/>
                          <w:color w:val="7F7F7F" w:themeColor="text1" w:themeTint="80"/>
                          <w:sz w:val="18"/>
                          <w:szCs w:val="18"/>
                        </w:rPr>
                      </w:pPr>
                      <w:r w:rsidRPr="00D71C61">
                        <w:rPr>
                          <w:rFonts w:ascii="Arial" w:hAnsi="Arial" w:cs="Arial"/>
                          <w:i/>
                          <w:iCs/>
                          <w:color w:val="7F7F7F" w:themeColor="text1" w:themeTint="80"/>
                          <w:sz w:val="18"/>
                          <w:szCs w:val="18"/>
                        </w:rPr>
                        <w:t>Source: UN PRI</w:t>
                      </w:r>
                    </w:p>
                  </w:txbxContent>
                </v:textbox>
                <w10:wrap anchorx="margin"/>
              </v:rect>
            </w:pict>
          </mc:Fallback>
        </mc:AlternateContent>
      </w:r>
    </w:p>
    <w:p w:rsidR="00A669E7" w:rsidRPr="00B80858" w:rsidP="00B80858" w14:paraId="678EE1CD" w14:textId="4EAB4A3E">
      <w:pPr>
        <w:spacing w:after="120" w:line="252" w:lineRule="auto"/>
        <w:ind w:right="-3260"/>
        <w:jc w:val="both"/>
        <w:rPr>
          <w:rFonts w:ascii="Arial" w:hAnsi="Arial" w:cs="Arial"/>
          <w:b/>
          <w:bCs/>
          <w:sz w:val="20"/>
          <w:szCs w:val="20"/>
        </w:rPr>
      </w:pPr>
      <w:r w:rsidRPr="00B80858">
        <w:rPr>
          <w:rFonts w:ascii="Arial" w:hAnsi="Arial" w:cs="Arial"/>
          <w:b/>
          <w:bCs/>
          <w:sz w:val="20"/>
          <w:szCs w:val="20"/>
        </w:rPr>
        <w:t>How voting and engagement policies have been</w:t>
      </w:r>
      <w:r w:rsidRPr="00B80858" w:rsidR="00F525A6">
        <w:rPr>
          <w:rFonts w:ascii="Arial" w:hAnsi="Arial" w:cs="Arial"/>
          <w:b/>
          <w:bCs/>
          <w:sz w:val="20"/>
          <w:szCs w:val="20"/>
        </w:rPr>
        <w:t xml:space="preserve"> </w:t>
      </w:r>
      <w:r w:rsidRPr="00B80858">
        <w:rPr>
          <w:rFonts w:ascii="Arial" w:hAnsi="Arial" w:cs="Arial"/>
          <w:b/>
          <w:bCs/>
          <w:sz w:val="20"/>
          <w:szCs w:val="20"/>
        </w:rPr>
        <w:t>followed</w:t>
      </w:r>
    </w:p>
    <w:p w:rsidR="00C72A99" w:rsidRPr="00864EBE" w:rsidP="00B80858" w14:paraId="6F79627E" w14:textId="7DDA1E5B">
      <w:pPr>
        <w:spacing w:after="0" w:line="252" w:lineRule="auto"/>
        <w:ind w:right="43"/>
        <w:jc w:val="both"/>
        <w:rPr>
          <w:rFonts w:ascii="Arial" w:hAnsi="Arial" w:cs="Arial"/>
          <w:sz w:val="20"/>
          <w:szCs w:val="28"/>
        </w:rPr>
      </w:pPr>
      <w:r w:rsidRPr="00A669E7">
        <w:rPr>
          <w:rFonts w:ascii="Arial" w:hAnsi="Arial" w:cs="Arial"/>
          <w:sz w:val="20"/>
          <w:szCs w:val="28"/>
        </w:rPr>
        <w:t>The Scheme is invested</w:t>
      </w:r>
      <w:r w:rsidR="00463A60">
        <w:rPr>
          <w:rFonts w:ascii="Arial" w:hAnsi="Arial" w:cs="Arial"/>
          <w:sz w:val="20"/>
          <w:szCs w:val="28"/>
        </w:rPr>
        <w:t xml:space="preserve"> entirely</w:t>
      </w:r>
      <w:r w:rsidRPr="00A669E7">
        <w:rPr>
          <w:rFonts w:ascii="Arial" w:hAnsi="Arial" w:cs="Arial"/>
          <w:sz w:val="20"/>
          <w:szCs w:val="28"/>
        </w:rPr>
        <w:t xml:space="preserve"> in pooled funds, and so the responsibility for voting and engagement is delegated to the Scheme’s investment managers</w:t>
      </w:r>
      <w:r w:rsidR="00463A60">
        <w:rPr>
          <w:rFonts w:ascii="Arial" w:hAnsi="Arial" w:cs="Arial"/>
          <w:sz w:val="20"/>
          <w:szCs w:val="28"/>
        </w:rPr>
        <w:t>. With the help of our advisers, w</w:t>
      </w:r>
      <w:r w:rsidRPr="00A669E7">
        <w:rPr>
          <w:rFonts w:ascii="Arial" w:hAnsi="Arial" w:cs="Arial"/>
          <w:sz w:val="20"/>
          <w:szCs w:val="28"/>
        </w:rPr>
        <w:t xml:space="preserve">e reviewed the stewardship activity of the material </w:t>
      </w:r>
      <w:r w:rsidR="00AA4B4D">
        <w:rPr>
          <w:rFonts w:ascii="Arial" w:hAnsi="Arial" w:cs="Arial"/>
          <w:sz w:val="20"/>
          <w:szCs w:val="28"/>
        </w:rPr>
        <w:t xml:space="preserve">underlying </w:t>
      </w:r>
      <w:r w:rsidRPr="00A669E7">
        <w:rPr>
          <w:rFonts w:ascii="Arial" w:hAnsi="Arial" w:cs="Arial"/>
          <w:sz w:val="20"/>
          <w:szCs w:val="28"/>
        </w:rPr>
        <w:t xml:space="preserve">investment managers carried out over the Scheme year and in our view, most of the </w:t>
      </w:r>
      <w:r w:rsidR="00AA4B4D">
        <w:rPr>
          <w:rFonts w:ascii="Arial" w:hAnsi="Arial" w:cs="Arial"/>
          <w:sz w:val="20"/>
          <w:szCs w:val="28"/>
        </w:rPr>
        <w:t xml:space="preserve">underlying </w:t>
      </w:r>
      <w:r w:rsidRPr="00A669E7">
        <w:rPr>
          <w:rFonts w:ascii="Arial" w:hAnsi="Arial" w:cs="Arial"/>
          <w:sz w:val="20"/>
          <w:szCs w:val="28"/>
        </w:rPr>
        <w:t xml:space="preserve">investment managers were able to disclose </w:t>
      </w:r>
      <w:r w:rsidR="00AA4B4D">
        <w:rPr>
          <w:rFonts w:ascii="Arial" w:hAnsi="Arial" w:cs="Arial"/>
          <w:sz w:val="20"/>
          <w:szCs w:val="28"/>
        </w:rPr>
        <w:t>adequate</w:t>
      </w:r>
      <w:r w:rsidRPr="00A669E7" w:rsidR="00AA4B4D">
        <w:rPr>
          <w:rFonts w:ascii="Arial" w:hAnsi="Arial" w:cs="Arial"/>
          <w:sz w:val="20"/>
          <w:szCs w:val="28"/>
        </w:rPr>
        <w:t xml:space="preserve"> </w:t>
      </w:r>
      <w:r w:rsidRPr="00A669E7">
        <w:rPr>
          <w:rFonts w:ascii="Arial" w:hAnsi="Arial" w:cs="Arial"/>
          <w:sz w:val="20"/>
          <w:szCs w:val="28"/>
        </w:rPr>
        <w:t xml:space="preserve">evidence of voting and/or engagement activity. More information on the stewardship activity carried out by the Scheme’s investment managers can </w:t>
      </w:r>
      <w:r w:rsidRPr="00864EBE">
        <w:rPr>
          <w:rFonts w:ascii="Arial" w:hAnsi="Arial" w:cs="Arial"/>
          <w:sz w:val="20"/>
          <w:szCs w:val="28"/>
        </w:rPr>
        <w:t xml:space="preserve">be found in the following sections of this report. </w:t>
      </w:r>
    </w:p>
    <w:p w:rsidR="003F6483" w:rsidRPr="00864EBE" w:rsidP="00B80858" w14:paraId="1EC460A1" w14:textId="77777777">
      <w:pPr>
        <w:spacing w:after="0" w:line="252" w:lineRule="auto"/>
        <w:ind w:right="49"/>
        <w:jc w:val="both"/>
        <w:rPr>
          <w:rFonts w:ascii="Arial" w:hAnsi="Arial" w:cs="Arial"/>
          <w:sz w:val="20"/>
          <w:szCs w:val="20"/>
        </w:rPr>
      </w:pPr>
      <w:bookmarkStart w:id="9" w:name="Bm_VotingEngagementPolicies_Arial10"/>
      <w:bookmarkEnd w:id="9"/>
      <w:r w:rsidRPr="00864EBE">
        <w:rPr>
          <w:rFonts w:ascii="Arial" w:hAnsi="Arial" w:cs="Arial"/>
          <w:sz w:val="20"/>
          <w:szCs w:val="20"/>
        </w:rPr>
        <w:t xml:space="preserve"> </w:t>
      </w:r>
    </w:p>
    <w:p w:rsidR="00A166B2" w:rsidRPr="00B80858" w:rsidP="00B80858" w14:paraId="6EBBC6D8" w14:textId="4F879462">
      <w:pPr>
        <w:spacing w:after="0" w:line="252" w:lineRule="auto"/>
        <w:jc w:val="both"/>
        <w:rPr>
          <w:rFonts w:ascii="Arial" w:hAnsi="Arial" w:cs="Arial"/>
          <w:sz w:val="20"/>
          <w:szCs w:val="20"/>
        </w:rPr>
      </w:pPr>
      <w:r w:rsidRPr="00B80858">
        <w:rPr>
          <w:rFonts w:ascii="Arial" w:hAnsi="Arial" w:cs="Arial"/>
          <w:sz w:val="20"/>
          <w:szCs w:val="20"/>
        </w:rPr>
        <w:t xml:space="preserve">Over the </w:t>
      </w:r>
      <w:r w:rsidRPr="00B80858" w:rsidR="002D244B">
        <w:rPr>
          <w:rFonts w:ascii="Arial" w:hAnsi="Arial" w:cs="Arial"/>
          <w:sz w:val="20"/>
          <w:szCs w:val="20"/>
        </w:rPr>
        <w:t xml:space="preserve">reporting </w:t>
      </w:r>
      <w:r w:rsidRPr="00B80858">
        <w:rPr>
          <w:rFonts w:ascii="Arial" w:hAnsi="Arial" w:cs="Arial"/>
          <w:sz w:val="20"/>
          <w:szCs w:val="20"/>
        </w:rPr>
        <w:t>year</w:t>
      </w:r>
      <w:r w:rsidRPr="00B80858" w:rsidR="00B40461">
        <w:rPr>
          <w:rFonts w:ascii="Arial" w:hAnsi="Arial" w:cs="Arial"/>
          <w:sz w:val="20"/>
          <w:szCs w:val="20"/>
        </w:rPr>
        <w:t>,</w:t>
      </w:r>
      <w:r w:rsidRPr="00B80858">
        <w:rPr>
          <w:rFonts w:ascii="Arial" w:hAnsi="Arial" w:cs="Arial"/>
          <w:sz w:val="20"/>
          <w:szCs w:val="20"/>
        </w:rPr>
        <w:t xml:space="preserve"> </w:t>
      </w:r>
      <w:r w:rsidRPr="00B80858" w:rsidR="00B40461">
        <w:rPr>
          <w:rFonts w:ascii="Arial" w:hAnsi="Arial" w:cs="Arial"/>
          <w:sz w:val="20"/>
          <w:szCs w:val="20"/>
        </w:rPr>
        <w:t xml:space="preserve">we monitored </w:t>
      </w:r>
      <w:r w:rsidRPr="00B80858">
        <w:rPr>
          <w:rFonts w:ascii="Arial" w:hAnsi="Arial" w:cs="Arial"/>
          <w:sz w:val="20"/>
          <w:szCs w:val="20"/>
        </w:rPr>
        <w:t>the performance of the</w:t>
      </w:r>
      <w:r w:rsidRPr="00B80858" w:rsidR="00B40461">
        <w:rPr>
          <w:rFonts w:ascii="Arial" w:hAnsi="Arial" w:cs="Arial"/>
          <w:sz w:val="20"/>
          <w:szCs w:val="20"/>
        </w:rPr>
        <w:t xml:space="preserve"> </w:t>
      </w:r>
      <w:r w:rsidR="005D725E">
        <w:rPr>
          <w:rFonts w:ascii="Arial" w:hAnsi="Arial" w:cs="Arial"/>
          <w:sz w:val="20"/>
          <w:szCs w:val="20"/>
        </w:rPr>
        <w:t>Scheme</w:t>
      </w:r>
      <w:r w:rsidRPr="00B80858" w:rsidR="00B40461">
        <w:rPr>
          <w:rFonts w:ascii="Arial" w:hAnsi="Arial" w:cs="Arial"/>
          <w:sz w:val="20"/>
          <w:szCs w:val="20"/>
        </w:rPr>
        <w:t>’s</w:t>
      </w:r>
      <w:r w:rsidRPr="00B80858">
        <w:rPr>
          <w:rFonts w:ascii="Arial" w:hAnsi="Arial" w:cs="Arial"/>
          <w:sz w:val="20"/>
          <w:szCs w:val="20"/>
        </w:rPr>
        <w:t xml:space="preserve"> </w:t>
      </w:r>
      <w:r w:rsidRPr="00B80858" w:rsidR="00B40461">
        <w:rPr>
          <w:rFonts w:ascii="Arial" w:hAnsi="Arial" w:cs="Arial"/>
          <w:sz w:val="20"/>
          <w:szCs w:val="20"/>
        </w:rPr>
        <w:t xml:space="preserve">investments on a quarterly basis </w:t>
      </w:r>
      <w:r w:rsidRPr="00B80858">
        <w:rPr>
          <w:rFonts w:ascii="Arial" w:hAnsi="Arial" w:cs="Arial"/>
          <w:sz w:val="20"/>
          <w:szCs w:val="20"/>
        </w:rPr>
        <w:t>and receive</w:t>
      </w:r>
      <w:r w:rsidRPr="00B80858" w:rsidR="002D244B">
        <w:rPr>
          <w:rFonts w:ascii="Arial" w:hAnsi="Arial" w:cs="Arial"/>
          <w:sz w:val="20"/>
          <w:szCs w:val="20"/>
        </w:rPr>
        <w:t>d</w:t>
      </w:r>
      <w:r w:rsidRPr="00B80858">
        <w:rPr>
          <w:rFonts w:ascii="Arial" w:hAnsi="Arial" w:cs="Arial"/>
          <w:sz w:val="20"/>
          <w:szCs w:val="20"/>
        </w:rPr>
        <w:t xml:space="preserve"> updates on important issues from </w:t>
      </w:r>
      <w:r w:rsidRPr="00B80858" w:rsidR="00B40461">
        <w:rPr>
          <w:rFonts w:ascii="Arial" w:hAnsi="Arial" w:cs="Arial"/>
          <w:sz w:val="20"/>
          <w:szCs w:val="20"/>
        </w:rPr>
        <w:t xml:space="preserve">our </w:t>
      </w:r>
      <w:r w:rsidRPr="00B80858">
        <w:rPr>
          <w:rFonts w:ascii="Arial" w:hAnsi="Arial" w:cs="Arial"/>
          <w:sz w:val="20"/>
          <w:szCs w:val="20"/>
        </w:rPr>
        <w:t>investment adviser, Aon</w:t>
      </w:r>
      <w:r w:rsidRPr="00B80858" w:rsidR="00B7177F">
        <w:rPr>
          <w:rFonts w:ascii="Arial" w:hAnsi="Arial" w:cs="Arial"/>
          <w:sz w:val="20"/>
          <w:szCs w:val="20"/>
        </w:rPr>
        <w:t xml:space="preserve"> Investments Limited (“A</w:t>
      </w:r>
      <w:r w:rsidRPr="00B80858" w:rsidR="009B15E7">
        <w:rPr>
          <w:rFonts w:ascii="Arial" w:hAnsi="Arial" w:cs="Arial"/>
          <w:sz w:val="20"/>
          <w:szCs w:val="20"/>
        </w:rPr>
        <w:t>on</w:t>
      </w:r>
      <w:r w:rsidRPr="00B80858" w:rsidR="00B7177F">
        <w:rPr>
          <w:rFonts w:ascii="Arial" w:hAnsi="Arial" w:cs="Arial"/>
          <w:sz w:val="20"/>
          <w:szCs w:val="20"/>
        </w:rPr>
        <w:t>”)</w:t>
      </w:r>
      <w:r w:rsidRPr="00B80858">
        <w:rPr>
          <w:rFonts w:ascii="Arial" w:hAnsi="Arial" w:cs="Arial"/>
          <w:sz w:val="20"/>
          <w:szCs w:val="20"/>
        </w:rPr>
        <w:t xml:space="preserve">. </w:t>
      </w:r>
      <w:r w:rsidRPr="00B80858" w:rsidR="00293294">
        <w:rPr>
          <w:rFonts w:ascii="Arial" w:hAnsi="Arial" w:cs="Arial"/>
          <w:sz w:val="20"/>
          <w:szCs w:val="20"/>
        </w:rPr>
        <w:t xml:space="preserve">In particular, </w:t>
      </w:r>
      <w:r w:rsidRPr="00B80858" w:rsidR="00B40461">
        <w:rPr>
          <w:rFonts w:ascii="Arial" w:hAnsi="Arial" w:cs="Arial"/>
          <w:sz w:val="20"/>
          <w:szCs w:val="20"/>
        </w:rPr>
        <w:t xml:space="preserve">we </w:t>
      </w:r>
      <w:r w:rsidRPr="00B80858" w:rsidR="00293294">
        <w:rPr>
          <w:rFonts w:ascii="Arial" w:hAnsi="Arial" w:cs="Arial"/>
          <w:sz w:val="20"/>
          <w:szCs w:val="20"/>
        </w:rPr>
        <w:t>receive</w:t>
      </w:r>
      <w:r w:rsidRPr="00B80858" w:rsidR="00E940A6">
        <w:rPr>
          <w:rFonts w:ascii="Arial" w:hAnsi="Arial" w:cs="Arial"/>
          <w:sz w:val="20"/>
          <w:szCs w:val="20"/>
        </w:rPr>
        <w:t>d</w:t>
      </w:r>
      <w:r w:rsidRPr="00B80858" w:rsidR="00293294">
        <w:rPr>
          <w:rFonts w:ascii="Arial" w:hAnsi="Arial" w:cs="Arial"/>
          <w:sz w:val="20"/>
          <w:szCs w:val="20"/>
        </w:rPr>
        <w:t xml:space="preserve"> quarterly </w:t>
      </w:r>
      <w:r w:rsidRPr="00864EBE" w:rsidR="00463A60">
        <w:rPr>
          <w:rFonts w:ascii="Arial" w:hAnsi="Arial" w:cs="Arial"/>
          <w:sz w:val="20"/>
          <w:szCs w:val="20"/>
        </w:rPr>
        <w:t>Environmental Social Governance</w:t>
      </w:r>
      <w:r w:rsidRPr="00B80858" w:rsidR="00463A60">
        <w:rPr>
          <w:rFonts w:ascii="Arial" w:hAnsi="Arial" w:cs="Arial"/>
          <w:sz w:val="20"/>
          <w:szCs w:val="20"/>
        </w:rPr>
        <w:t xml:space="preserve"> (“</w:t>
      </w:r>
      <w:r w:rsidRPr="00B80858" w:rsidR="00B40461">
        <w:rPr>
          <w:rFonts w:ascii="Arial" w:hAnsi="Arial" w:cs="Arial"/>
          <w:sz w:val="20"/>
          <w:szCs w:val="20"/>
        </w:rPr>
        <w:t>ESG</w:t>
      </w:r>
      <w:r w:rsidRPr="00B80858" w:rsidR="00463A60">
        <w:rPr>
          <w:rFonts w:ascii="Arial" w:hAnsi="Arial" w:cs="Arial"/>
          <w:sz w:val="20"/>
          <w:szCs w:val="20"/>
        </w:rPr>
        <w:t>”)</w:t>
      </w:r>
      <w:r w:rsidRPr="00B80858" w:rsidR="00293294">
        <w:rPr>
          <w:rFonts w:ascii="Arial" w:hAnsi="Arial" w:cs="Arial"/>
          <w:sz w:val="20"/>
          <w:szCs w:val="20"/>
        </w:rPr>
        <w:t xml:space="preserve"> ratings from Aon for </w:t>
      </w:r>
      <w:r w:rsidRPr="00B80858" w:rsidR="00B40461">
        <w:rPr>
          <w:rFonts w:ascii="Arial" w:hAnsi="Arial" w:cs="Arial"/>
          <w:sz w:val="20"/>
          <w:szCs w:val="20"/>
        </w:rPr>
        <w:t xml:space="preserve">the funds the </w:t>
      </w:r>
      <w:r w:rsidR="005D725E">
        <w:rPr>
          <w:rFonts w:ascii="Arial" w:hAnsi="Arial" w:cs="Arial"/>
          <w:sz w:val="20"/>
          <w:szCs w:val="20"/>
        </w:rPr>
        <w:t xml:space="preserve">Scheme </w:t>
      </w:r>
      <w:r w:rsidRPr="00B80858" w:rsidR="00B40461">
        <w:rPr>
          <w:rFonts w:ascii="Arial" w:hAnsi="Arial" w:cs="Arial"/>
          <w:sz w:val="20"/>
          <w:szCs w:val="20"/>
        </w:rPr>
        <w:t>is invested in where available</w:t>
      </w:r>
      <w:r w:rsidRPr="00B80858" w:rsidR="00293294">
        <w:rPr>
          <w:rFonts w:ascii="Arial" w:hAnsi="Arial" w:cs="Arial"/>
          <w:sz w:val="20"/>
          <w:szCs w:val="20"/>
        </w:rPr>
        <w:t xml:space="preserve">. </w:t>
      </w:r>
    </w:p>
    <w:p w:rsidR="00F525A6" w:rsidRPr="00B80858" w:rsidP="00B80858" w14:paraId="34C83BD0" w14:textId="77777777">
      <w:pPr>
        <w:spacing w:after="0" w:line="252" w:lineRule="auto"/>
        <w:jc w:val="both"/>
        <w:rPr>
          <w:rFonts w:ascii="Arial" w:hAnsi="Arial" w:cs="Arial"/>
          <w:sz w:val="20"/>
          <w:szCs w:val="20"/>
        </w:rPr>
      </w:pPr>
    </w:p>
    <w:p w:rsidR="00A166B2" w:rsidRPr="00B80858" w:rsidP="00B80858" w14:paraId="00AB7169" w14:textId="0314AF5E">
      <w:pPr>
        <w:spacing w:after="0" w:line="252" w:lineRule="auto"/>
        <w:jc w:val="both"/>
        <w:rPr>
          <w:rFonts w:ascii="Arial" w:hAnsi="Arial" w:cs="Arial"/>
          <w:sz w:val="20"/>
          <w:szCs w:val="20"/>
        </w:rPr>
      </w:pPr>
      <w:r w:rsidRPr="00B80858">
        <w:rPr>
          <w:rFonts w:ascii="Arial" w:hAnsi="Arial" w:cs="Arial"/>
          <w:sz w:val="20"/>
          <w:szCs w:val="20"/>
        </w:rPr>
        <w:t xml:space="preserve">During the year, </w:t>
      </w:r>
      <w:r w:rsidRPr="00B80858" w:rsidR="00B40461">
        <w:rPr>
          <w:rFonts w:ascii="Arial" w:hAnsi="Arial" w:cs="Arial"/>
          <w:sz w:val="20"/>
          <w:szCs w:val="20"/>
        </w:rPr>
        <w:t>we</w:t>
      </w:r>
      <w:r w:rsidRPr="00B80858" w:rsidR="00463A60">
        <w:rPr>
          <w:rFonts w:ascii="Arial" w:hAnsi="Arial" w:cs="Arial"/>
          <w:sz w:val="20"/>
          <w:szCs w:val="20"/>
        </w:rPr>
        <w:t xml:space="preserve"> were presented with Aon’s</w:t>
      </w:r>
      <w:r w:rsidRPr="00B80858">
        <w:rPr>
          <w:rFonts w:ascii="Arial" w:hAnsi="Arial" w:cs="Arial"/>
          <w:sz w:val="20"/>
          <w:szCs w:val="20"/>
        </w:rPr>
        <w:t xml:space="preserve"> </w:t>
      </w:r>
      <w:r w:rsidRPr="00B80858" w:rsidR="00463A60">
        <w:rPr>
          <w:rFonts w:ascii="Arial" w:hAnsi="Arial" w:cs="Arial"/>
          <w:sz w:val="20"/>
          <w:szCs w:val="20"/>
        </w:rPr>
        <w:t xml:space="preserve">annual </w:t>
      </w:r>
      <w:r w:rsidRPr="00B80858" w:rsidR="00B40461">
        <w:rPr>
          <w:rFonts w:ascii="Arial" w:hAnsi="Arial" w:cs="Arial"/>
          <w:sz w:val="20"/>
          <w:szCs w:val="20"/>
        </w:rPr>
        <w:t>s</w:t>
      </w:r>
      <w:r w:rsidRPr="00B80858">
        <w:rPr>
          <w:rFonts w:ascii="Arial" w:hAnsi="Arial" w:cs="Arial"/>
          <w:sz w:val="20"/>
          <w:szCs w:val="20"/>
        </w:rPr>
        <w:t>tewardship</w:t>
      </w:r>
      <w:r w:rsidRPr="00B80858" w:rsidR="00B40461">
        <w:rPr>
          <w:rFonts w:ascii="Arial" w:hAnsi="Arial" w:cs="Arial"/>
          <w:sz w:val="20"/>
          <w:szCs w:val="20"/>
        </w:rPr>
        <w:t xml:space="preserve"> </w:t>
      </w:r>
      <w:r w:rsidRPr="00B80858" w:rsidR="00463A60">
        <w:rPr>
          <w:rFonts w:ascii="Arial" w:hAnsi="Arial" w:cs="Arial"/>
          <w:sz w:val="20"/>
          <w:szCs w:val="20"/>
        </w:rPr>
        <w:t>report, discussing some of the key activities over the year</w:t>
      </w:r>
      <w:r w:rsidRPr="00B80858">
        <w:rPr>
          <w:rFonts w:ascii="Arial" w:hAnsi="Arial" w:cs="Arial"/>
          <w:sz w:val="20"/>
          <w:szCs w:val="20"/>
        </w:rPr>
        <w:t xml:space="preserve"> and agreed </w:t>
      </w:r>
      <w:r w:rsidRPr="00B80858" w:rsidR="00B40461">
        <w:rPr>
          <w:rFonts w:ascii="Arial" w:hAnsi="Arial" w:cs="Arial"/>
          <w:sz w:val="20"/>
          <w:szCs w:val="20"/>
        </w:rPr>
        <w:t xml:space="preserve">our </w:t>
      </w:r>
      <w:r w:rsidRPr="00B80858">
        <w:rPr>
          <w:rFonts w:ascii="Arial" w:hAnsi="Arial" w:cs="Arial"/>
          <w:sz w:val="20"/>
          <w:szCs w:val="20"/>
        </w:rPr>
        <w:t>policies in relation to these</w:t>
      </w:r>
      <w:r w:rsidRPr="00B80858" w:rsidR="002C7327">
        <w:rPr>
          <w:rFonts w:ascii="Arial" w:hAnsi="Arial" w:cs="Arial"/>
          <w:sz w:val="20"/>
          <w:szCs w:val="20"/>
        </w:rPr>
        <w:t xml:space="preserve"> to be included in the Statement of Investment Principles</w:t>
      </w:r>
      <w:r w:rsidRPr="00B80858">
        <w:rPr>
          <w:rFonts w:ascii="Arial" w:hAnsi="Arial" w:cs="Arial"/>
          <w:sz w:val="20"/>
          <w:szCs w:val="20"/>
        </w:rPr>
        <w:t>.</w:t>
      </w:r>
      <w:r w:rsidRPr="00B80858" w:rsidR="00B40461">
        <w:rPr>
          <w:rFonts w:ascii="Arial" w:hAnsi="Arial" w:cs="Arial"/>
          <w:sz w:val="20"/>
          <w:szCs w:val="20"/>
        </w:rPr>
        <w:t xml:space="preserve"> </w:t>
      </w:r>
    </w:p>
    <w:p w:rsidR="00293294" w:rsidRPr="00B80858" w:rsidP="00B80858" w14:paraId="4C2A6A43" w14:textId="77777777">
      <w:pPr>
        <w:spacing w:after="0" w:line="252" w:lineRule="auto"/>
        <w:jc w:val="both"/>
        <w:rPr>
          <w:rFonts w:ascii="Arial" w:hAnsi="Arial" w:cs="Arial"/>
          <w:sz w:val="20"/>
          <w:szCs w:val="20"/>
        </w:rPr>
      </w:pPr>
    </w:p>
    <w:p w:rsidR="007E2AD1" w:rsidRPr="00B80858" w:rsidP="00B80858" w14:paraId="123B711F" w14:textId="2E6B6035">
      <w:pPr>
        <w:spacing w:after="0" w:line="252" w:lineRule="auto"/>
        <w:jc w:val="both"/>
        <w:rPr>
          <w:rFonts w:ascii="Arial" w:hAnsi="Arial" w:cs="Arial"/>
          <w:sz w:val="20"/>
          <w:szCs w:val="20"/>
        </w:rPr>
      </w:pPr>
      <w:r w:rsidRPr="00B80858">
        <w:rPr>
          <w:rFonts w:ascii="Arial" w:hAnsi="Arial" w:cs="Arial"/>
          <w:sz w:val="20"/>
          <w:szCs w:val="20"/>
        </w:rPr>
        <w:t xml:space="preserve">Each year, </w:t>
      </w:r>
      <w:r w:rsidRPr="00B80858" w:rsidR="00463A60">
        <w:rPr>
          <w:rFonts w:ascii="Arial" w:hAnsi="Arial" w:cs="Arial"/>
          <w:sz w:val="20"/>
          <w:szCs w:val="20"/>
        </w:rPr>
        <w:t xml:space="preserve">with the help of our advisers, </w:t>
      </w:r>
      <w:r w:rsidRPr="00B80858" w:rsidR="00B40461">
        <w:rPr>
          <w:rFonts w:ascii="Arial" w:hAnsi="Arial" w:cs="Arial"/>
          <w:sz w:val="20"/>
          <w:szCs w:val="20"/>
        </w:rPr>
        <w:t xml:space="preserve">we </w:t>
      </w:r>
      <w:r w:rsidRPr="00B80858">
        <w:rPr>
          <w:rFonts w:ascii="Arial" w:hAnsi="Arial" w:cs="Arial"/>
          <w:sz w:val="20"/>
          <w:szCs w:val="20"/>
        </w:rPr>
        <w:t xml:space="preserve">review </w:t>
      </w:r>
      <w:r w:rsidRPr="00B80858" w:rsidR="00B40461">
        <w:rPr>
          <w:rFonts w:ascii="Arial" w:hAnsi="Arial" w:cs="Arial"/>
          <w:sz w:val="20"/>
          <w:szCs w:val="20"/>
        </w:rPr>
        <w:t xml:space="preserve">the </w:t>
      </w:r>
      <w:r w:rsidRPr="00B80858">
        <w:rPr>
          <w:rFonts w:ascii="Arial" w:hAnsi="Arial" w:cs="Arial"/>
          <w:sz w:val="20"/>
          <w:szCs w:val="20"/>
        </w:rPr>
        <w:t xml:space="preserve">voting and engagement policies </w:t>
      </w:r>
      <w:r w:rsidRPr="00B80858" w:rsidR="00B40461">
        <w:rPr>
          <w:rFonts w:ascii="Arial" w:hAnsi="Arial" w:cs="Arial"/>
          <w:sz w:val="20"/>
          <w:szCs w:val="20"/>
        </w:rPr>
        <w:t xml:space="preserve">of the </w:t>
      </w:r>
      <w:r w:rsidR="00EB05A4">
        <w:rPr>
          <w:rFonts w:ascii="Arial" w:hAnsi="Arial" w:cs="Arial"/>
          <w:sz w:val="20"/>
          <w:szCs w:val="20"/>
        </w:rPr>
        <w:t>Scheme</w:t>
      </w:r>
      <w:r w:rsidRPr="00B80858" w:rsidR="00B40461">
        <w:rPr>
          <w:rFonts w:ascii="Arial" w:hAnsi="Arial" w:cs="Arial"/>
          <w:sz w:val="20"/>
          <w:szCs w:val="20"/>
        </w:rPr>
        <w:t>’s</w:t>
      </w:r>
      <w:r w:rsidRPr="00B80858" w:rsidR="00293294">
        <w:rPr>
          <w:rFonts w:ascii="Arial" w:hAnsi="Arial" w:cs="Arial"/>
          <w:sz w:val="20"/>
          <w:szCs w:val="20"/>
        </w:rPr>
        <w:t xml:space="preserve"> </w:t>
      </w:r>
      <w:r w:rsidRPr="00B80858" w:rsidR="002C7327">
        <w:rPr>
          <w:rFonts w:ascii="Arial" w:hAnsi="Arial" w:cs="Arial"/>
          <w:sz w:val="20"/>
          <w:szCs w:val="20"/>
        </w:rPr>
        <w:t xml:space="preserve">underlying </w:t>
      </w:r>
      <w:r w:rsidRPr="00B80858" w:rsidR="00293294">
        <w:rPr>
          <w:rFonts w:ascii="Arial" w:hAnsi="Arial" w:cs="Arial"/>
          <w:sz w:val="20"/>
          <w:szCs w:val="20"/>
        </w:rPr>
        <w:t xml:space="preserve">investment </w:t>
      </w:r>
      <w:r w:rsidRPr="00B80858">
        <w:rPr>
          <w:rFonts w:ascii="Arial" w:hAnsi="Arial" w:cs="Arial"/>
          <w:sz w:val="20"/>
          <w:szCs w:val="20"/>
        </w:rPr>
        <w:t>managers</w:t>
      </w:r>
      <w:r w:rsidRPr="00B80858" w:rsidR="00293294">
        <w:rPr>
          <w:rFonts w:ascii="Arial" w:hAnsi="Arial" w:cs="Arial"/>
          <w:sz w:val="20"/>
          <w:szCs w:val="20"/>
        </w:rPr>
        <w:t xml:space="preserve"> </w:t>
      </w:r>
      <w:r w:rsidRPr="00B80858">
        <w:rPr>
          <w:rFonts w:ascii="Arial" w:hAnsi="Arial" w:cs="Arial"/>
          <w:sz w:val="20"/>
          <w:szCs w:val="20"/>
        </w:rPr>
        <w:t>to</w:t>
      </w:r>
      <w:r w:rsidRPr="00B80858" w:rsidR="00B40461">
        <w:rPr>
          <w:rFonts w:ascii="Arial" w:hAnsi="Arial" w:cs="Arial"/>
          <w:sz w:val="20"/>
          <w:szCs w:val="20"/>
        </w:rPr>
        <w:t xml:space="preserve"> ensure</w:t>
      </w:r>
      <w:r w:rsidRPr="00B80858">
        <w:rPr>
          <w:rFonts w:ascii="Arial" w:hAnsi="Arial" w:cs="Arial"/>
          <w:sz w:val="20"/>
          <w:szCs w:val="20"/>
        </w:rPr>
        <w:t xml:space="preserve"> </w:t>
      </w:r>
      <w:r w:rsidRPr="00B80858" w:rsidR="00B40461">
        <w:rPr>
          <w:rFonts w:ascii="Arial" w:hAnsi="Arial" w:cs="Arial"/>
          <w:sz w:val="20"/>
          <w:szCs w:val="20"/>
        </w:rPr>
        <w:t xml:space="preserve">they </w:t>
      </w:r>
      <w:r w:rsidRPr="00B80858">
        <w:rPr>
          <w:rFonts w:ascii="Arial" w:hAnsi="Arial" w:cs="Arial"/>
          <w:sz w:val="20"/>
          <w:szCs w:val="20"/>
        </w:rPr>
        <w:t xml:space="preserve">align with </w:t>
      </w:r>
      <w:r w:rsidRPr="00B80858" w:rsidR="00B40461">
        <w:rPr>
          <w:rFonts w:ascii="Arial" w:hAnsi="Arial" w:cs="Arial"/>
          <w:sz w:val="20"/>
          <w:szCs w:val="20"/>
        </w:rPr>
        <w:t xml:space="preserve">our </w:t>
      </w:r>
      <w:r w:rsidRPr="00B80858">
        <w:rPr>
          <w:rFonts w:ascii="Arial" w:hAnsi="Arial" w:cs="Arial"/>
          <w:sz w:val="20"/>
          <w:szCs w:val="20"/>
        </w:rPr>
        <w:t>own policies</w:t>
      </w:r>
      <w:r w:rsidRPr="00B80858" w:rsidR="00B40461">
        <w:rPr>
          <w:rFonts w:ascii="Arial" w:hAnsi="Arial" w:cs="Arial"/>
          <w:sz w:val="20"/>
          <w:szCs w:val="20"/>
        </w:rPr>
        <w:t xml:space="preserve"> for the </w:t>
      </w:r>
      <w:r w:rsidR="00EB05A4">
        <w:rPr>
          <w:rFonts w:ascii="Arial" w:hAnsi="Arial" w:cs="Arial"/>
          <w:sz w:val="20"/>
          <w:szCs w:val="20"/>
        </w:rPr>
        <w:t>Scheme</w:t>
      </w:r>
      <w:r w:rsidRPr="00B80858" w:rsidR="00B40461">
        <w:rPr>
          <w:rFonts w:ascii="Arial" w:hAnsi="Arial" w:cs="Arial"/>
          <w:sz w:val="20"/>
          <w:szCs w:val="20"/>
        </w:rPr>
        <w:t xml:space="preserve"> and help us to achieve them</w:t>
      </w:r>
      <w:r w:rsidRPr="00B80858">
        <w:rPr>
          <w:rFonts w:ascii="Arial" w:hAnsi="Arial" w:cs="Arial"/>
          <w:sz w:val="20"/>
          <w:szCs w:val="20"/>
        </w:rPr>
        <w:t>.</w:t>
      </w:r>
      <w:bookmarkStart w:id="10" w:name="Bm_STPrioritiesLine_Arial10"/>
      <w:bookmarkEnd w:id="10"/>
    </w:p>
    <w:p w:rsidR="00053ADB" w:rsidRPr="00B80858" w:rsidP="00B80858" w14:paraId="0D6F7CF8" w14:textId="77777777">
      <w:pPr>
        <w:spacing w:after="0" w:line="252" w:lineRule="auto"/>
        <w:jc w:val="both"/>
        <w:rPr>
          <w:rFonts w:ascii="Arial" w:hAnsi="Arial" w:cs="Arial"/>
          <w:sz w:val="20"/>
          <w:szCs w:val="20"/>
        </w:rPr>
      </w:pPr>
    </w:p>
    <w:p w:rsidR="00864EBE" w:rsidRPr="00864EBE" w:rsidP="00B80858" w14:paraId="142AAC5D" w14:textId="68569A9B">
      <w:pPr>
        <w:tabs>
          <w:tab w:val="left" w:pos="5710"/>
        </w:tabs>
        <w:spacing w:after="0" w:line="252" w:lineRule="auto"/>
        <w:jc w:val="both"/>
        <w:rPr>
          <w:rFonts w:ascii="Arial" w:hAnsi="Arial" w:cs="Arial"/>
          <w:sz w:val="20"/>
          <w:szCs w:val="20"/>
        </w:rPr>
      </w:pPr>
      <w:r w:rsidRPr="00B80858">
        <w:rPr>
          <w:rFonts w:ascii="Arial" w:hAnsi="Arial" w:cs="Arial"/>
          <w:sz w:val="20"/>
          <w:szCs w:val="20"/>
        </w:rPr>
        <w:t xml:space="preserve">The </w:t>
      </w:r>
      <w:r w:rsidR="005D725E">
        <w:rPr>
          <w:rFonts w:ascii="Arial" w:hAnsi="Arial" w:cs="Arial"/>
          <w:sz w:val="20"/>
          <w:szCs w:val="20"/>
        </w:rPr>
        <w:t>Scheme</w:t>
      </w:r>
      <w:r w:rsidRPr="00B80858">
        <w:rPr>
          <w:rFonts w:ascii="Arial" w:hAnsi="Arial" w:cs="Arial"/>
          <w:sz w:val="20"/>
          <w:szCs w:val="20"/>
        </w:rPr>
        <w:t>’s stewardship policy can be found in the SIP:</w:t>
      </w:r>
    </w:p>
    <w:p w:rsidR="001F00D6" w:rsidP="00B80858" w14:paraId="0919ED3F" w14:textId="2AB3901D">
      <w:pPr>
        <w:spacing w:after="0" w:line="252" w:lineRule="auto"/>
        <w:jc w:val="both"/>
        <w:rPr>
          <w:rFonts w:ascii="Arial" w:hAnsi="Arial" w:cs="Arial"/>
          <w:sz w:val="20"/>
          <w:szCs w:val="20"/>
        </w:rPr>
      </w:pPr>
      <w:r w:rsidRPr="00864EBE">
        <w:rPr>
          <w:rFonts w:ascii="Arial" w:hAnsi="Arial" w:cs="Arial"/>
          <w:sz w:val="20"/>
          <w:szCs w:val="20"/>
        </w:rPr>
        <w:t xml:space="preserve"> </w:t>
      </w:r>
      <w:hyperlink r:id="rId6" w:history="1">
        <w:r w:rsidRPr="00864EBE">
          <w:rPr>
            <w:rStyle w:val="Hyperlink"/>
            <w:rFonts w:ascii="Arial" w:hAnsi="Arial" w:cs="Arial"/>
            <w:sz w:val="20"/>
            <w:szCs w:val="20"/>
          </w:rPr>
          <w:t>https://eatonwilliams.com/pdf/SIP.pdf</w:t>
        </w:r>
      </w:hyperlink>
      <w:r>
        <w:rPr>
          <w:rFonts w:ascii="Arial" w:hAnsi="Arial" w:cs="Arial"/>
          <w:sz w:val="20"/>
          <w:szCs w:val="20"/>
        </w:rPr>
        <w:t xml:space="preserve"> </w:t>
      </w:r>
    </w:p>
    <w:p w:rsidR="006338B1" w:rsidP="00D818D2" w14:paraId="42AF3160" w14:textId="77777777">
      <w:pPr>
        <w:spacing w:after="0" w:line="252" w:lineRule="auto"/>
        <w:jc w:val="both"/>
        <w:rPr>
          <w:rFonts w:ascii="Arial" w:hAnsi="Arial" w:cs="Arial"/>
          <w:sz w:val="20"/>
          <w:szCs w:val="20"/>
        </w:rPr>
      </w:pPr>
    </w:p>
    <w:p w:rsidR="00D818D2" w:rsidP="00B80858" w14:paraId="14F1D310" w14:textId="77777777">
      <w:pPr>
        <w:spacing w:after="0" w:line="252" w:lineRule="auto"/>
        <w:jc w:val="both"/>
        <w:rPr>
          <w:rFonts w:ascii="Arial" w:hAnsi="Arial" w:cs="Arial"/>
          <w:sz w:val="20"/>
          <w:szCs w:val="20"/>
        </w:rPr>
      </w:pPr>
    </w:p>
    <w:p w:rsidR="00517D01" w:rsidRPr="00EC45CA" w:rsidP="00B80858" w14:paraId="3F1A3563" w14:textId="77777777">
      <w:pPr>
        <w:spacing w:after="120" w:line="252" w:lineRule="auto"/>
        <w:ind w:right="-3260"/>
        <w:jc w:val="both"/>
        <w:rPr>
          <w:rFonts w:ascii="Arial" w:hAnsi="Arial" w:cs="Arial"/>
          <w:b/>
          <w:bCs/>
          <w:sz w:val="20"/>
          <w:szCs w:val="20"/>
        </w:rPr>
      </w:pPr>
      <w:r w:rsidRPr="00EC45CA">
        <w:rPr>
          <w:rFonts w:ascii="Arial" w:hAnsi="Arial" w:cs="Arial"/>
          <w:b/>
          <w:bCs/>
          <w:sz w:val="20"/>
          <w:szCs w:val="20"/>
        </w:rPr>
        <w:t>Our Engagement Action Plan</w:t>
      </w:r>
    </w:p>
    <w:p w:rsidR="00B758C7" w:rsidP="00B80858" w14:paraId="6B7EF5F9" w14:textId="77777777">
      <w:pPr>
        <w:spacing w:line="252" w:lineRule="auto"/>
        <w:jc w:val="both"/>
        <w:rPr>
          <w:rFonts w:ascii="Arial" w:hAnsi="Arial" w:cs="Arial"/>
          <w:sz w:val="20"/>
          <w:szCs w:val="20"/>
        </w:rPr>
      </w:pPr>
      <w:r w:rsidRPr="00EC45CA">
        <w:rPr>
          <w:rFonts w:ascii="Arial" w:hAnsi="Arial" w:cs="Arial"/>
          <w:sz w:val="20"/>
          <w:szCs w:val="20"/>
        </w:rPr>
        <w:t xml:space="preserve">Based on the work we have done for the </w:t>
      </w:r>
      <w:r w:rsidRPr="00EC45CA" w:rsidR="00E52CB3">
        <w:rPr>
          <w:rFonts w:ascii="Arial" w:hAnsi="Arial" w:cs="Arial"/>
          <w:sz w:val="20"/>
          <w:szCs w:val="20"/>
        </w:rPr>
        <w:t>EP</w:t>
      </w:r>
      <w:r w:rsidRPr="00EC45CA">
        <w:rPr>
          <w:rFonts w:ascii="Arial" w:hAnsi="Arial" w:cs="Arial"/>
          <w:sz w:val="20"/>
          <w:szCs w:val="20"/>
        </w:rPr>
        <w:t xml:space="preserve">IS, we have decided to take the following steps over the next 12 months: </w:t>
      </w:r>
    </w:p>
    <w:p w:rsidR="000D3B45" w:rsidP="00486BCE" w14:paraId="21275D7D" w14:textId="1CE40FB5">
      <w:pPr>
        <w:pStyle w:val="ListParagraph"/>
        <w:numPr>
          <w:ilvl w:val="0"/>
          <w:numId w:val="29"/>
        </w:numPr>
        <w:spacing w:line="252" w:lineRule="auto"/>
        <w:jc w:val="both"/>
        <w:rPr>
          <w:rFonts w:ascii="Arial" w:hAnsi="Arial" w:cs="Arial"/>
          <w:sz w:val="20"/>
          <w:szCs w:val="20"/>
        </w:rPr>
      </w:pPr>
      <w:r w:rsidRPr="00B80858">
        <w:rPr>
          <w:rFonts w:ascii="Arial" w:hAnsi="Arial" w:cs="Arial"/>
          <w:sz w:val="20"/>
          <w:szCs w:val="20"/>
        </w:rPr>
        <w:t xml:space="preserve">We will invite our fiduciary manager to a meeting to get a better understanding of how it is monitoring voting practices and engaging with underlying </w:t>
      </w:r>
      <w:r w:rsidRPr="00B80858" w:rsidR="000F2022">
        <w:rPr>
          <w:rFonts w:ascii="Arial" w:hAnsi="Arial" w:cs="Arial"/>
          <w:sz w:val="20"/>
          <w:szCs w:val="20"/>
        </w:rPr>
        <w:t xml:space="preserve">investment </w:t>
      </w:r>
      <w:r w:rsidRPr="00B80858">
        <w:rPr>
          <w:rFonts w:ascii="Arial" w:hAnsi="Arial" w:cs="Arial"/>
          <w:sz w:val="20"/>
          <w:szCs w:val="20"/>
        </w:rPr>
        <w:t>managers on our behalf, and how these help us fulfil our Responsible Investment policies.</w:t>
      </w:r>
    </w:p>
    <w:p w:rsidR="00486BCE" w:rsidRPr="00B80858" w:rsidP="00486BCE" w14:paraId="6AE7ECB9" w14:textId="7C6CA36F">
      <w:pPr>
        <w:pStyle w:val="ListParagraph"/>
        <w:numPr>
          <w:ilvl w:val="0"/>
          <w:numId w:val="29"/>
        </w:numPr>
        <w:spacing w:line="252" w:lineRule="auto"/>
        <w:jc w:val="both"/>
        <w:rPr>
          <w:rFonts w:ascii="Arial" w:hAnsi="Arial" w:cs="Arial"/>
          <w:sz w:val="20"/>
          <w:szCs w:val="20"/>
        </w:rPr>
      </w:pPr>
      <w:r w:rsidRPr="00486BCE">
        <w:rPr>
          <w:rFonts w:ascii="Arial" w:hAnsi="Arial" w:cs="Arial"/>
          <w:sz w:val="20"/>
          <w:szCs w:val="20"/>
        </w:rPr>
        <w:t>We will undertake more regular meetings with our fiduciary manager if required, to ensure our fiduciary manager is using its resources to effectively influence positive outcomes in our relevant funds.</w:t>
      </w:r>
    </w:p>
    <w:bookmarkStart w:id="11" w:name="Bm_ISSection"/>
    <w:bookmarkStart w:id="12" w:name="Bm_FM_EngActivitySection_Arial10"/>
    <w:bookmarkEnd w:id="0"/>
    <w:bookmarkEnd w:id="11"/>
    <w:p w:rsidR="00976C9C" w:rsidRPr="00B80858" w:rsidP="00B80858" w14:paraId="19264FE1" w14:textId="77777777">
      <w:pPr>
        <w:spacing w:after="120" w:line="252" w:lineRule="auto"/>
        <w:ind w:right="-3260"/>
        <w:jc w:val="both"/>
        <w:rPr>
          <w:rFonts w:ascii="Arial" w:hAnsi="Arial" w:cs="Arial"/>
          <w:b/>
          <w:bCs/>
          <w:sz w:val="20"/>
          <w:szCs w:val="20"/>
        </w:rPr>
      </w:pPr>
      <w:r w:rsidRPr="00B80858">
        <w:rPr>
          <w:rFonts w:ascii="Arial" w:hAnsi="Arial" w:cs="Arial"/>
          <w:b/>
          <w:bCs/>
          <w:noProof/>
          <w:sz w:val="20"/>
          <w:szCs w:val="20"/>
        </w:rPr>
        <mc:AlternateContent>
          <mc:Choice Requires="wps">
            <w:drawing>
              <wp:anchor distT="0" distB="0" distL="114300" distR="114300" simplePos="0" relativeHeight="251660288" behindDoc="0" locked="0" layoutInCell="1" allowOverlap="1">
                <wp:simplePos x="0" y="0"/>
                <wp:positionH relativeFrom="margin">
                  <wp:posOffset>4770450</wp:posOffset>
                </wp:positionH>
                <wp:positionV relativeFrom="paragraph">
                  <wp:posOffset>43891</wp:posOffset>
                </wp:positionV>
                <wp:extent cx="1800000" cy="3328416"/>
                <wp:effectExtent l="0" t="0" r="0" b="5715"/>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1800000" cy="3328416"/>
                        </a:xfrm>
                        <a:prstGeom prst="rect">
                          <a:avLst/>
                        </a:prstGeom>
                        <a:solidFill>
                          <a:srgbClr val="DAEBF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23472" w:rsidRPr="00C67E9C" w:rsidP="00223472" w14:textId="77777777">
                            <w:pPr>
                              <w:rPr>
                                <w:rFonts w:ascii="Arial" w:hAnsi="Arial" w:cs="Arial"/>
                                <w:color w:val="0083A9"/>
                                <w:sz w:val="24"/>
                                <w:szCs w:val="24"/>
                              </w:rPr>
                            </w:pPr>
                            <w:r w:rsidRPr="00C67E9C">
                              <w:rPr>
                                <w:rFonts w:ascii="Arial" w:hAnsi="Arial" w:cs="Arial"/>
                                <w:color w:val="0083A9"/>
                                <w:sz w:val="24"/>
                                <w:szCs w:val="24"/>
                              </w:rPr>
                              <w:t xml:space="preserve">What is </w:t>
                            </w:r>
                            <w:r>
                              <w:rPr>
                                <w:rFonts w:ascii="Arial" w:hAnsi="Arial" w:cs="Arial"/>
                                <w:color w:val="0083A9"/>
                                <w:sz w:val="24"/>
                                <w:szCs w:val="24"/>
                              </w:rPr>
                              <w:t>fiduciary management</w:t>
                            </w:r>
                            <w:r w:rsidRPr="00C67E9C">
                              <w:rPr>
                                <w:rFonts w:ascii="Arial" w:hAnsi="Arial" w:cs="Arial"/>
                                <w:color w:val="0083A9"/>
                                <w:sz w:val="24"/>
                                <w:szCs w:val="24"/>
                              </w:rPr>
                              <w:t>?</w:t>
                            </w:r>
                          </w:p>
                          <w:p w:rsidR="00223472" w:rsidP="00223472" w14:textId="77777777">
                            <w:pPr>
                              <w:spacing w:after="60"/>
                              <w:rPr>
                                <w:rFonts w:ascii="Arial" w:hAnsi="Arial" w:cs="Arial"/>
                                <w:color w:val="7F7F7F" w:themeColor="text1" w:themeTint="80"/>
                                <w:sz w:val="20"/>
                                <w:szCs w:val="20"/>
                              </w:rPr>
                            </w:pPr>
                            <w:r>
                              <w:rPr>
                                <w:rFonts w:ascii="Arial" w:hAnsi="Arial" w:cs="Arial"/>
                                <w:color w:val="7F7F7F" w:themeColor="text1" w:themeTint="80"/>
                                <w:sz w:val="20"/>
                                <w:szCs w:val="20"/>
                              </w:rPr>
                              <w:t xml:space="preserve">Fiduciary management is the delegation of some, or all, of the day-to-day investment decisions and implementation to a fiduciary manager. But the trustees still retain responsibility for setting the high-level investment strategy. </w:t>
                            </w:r>
                          </w:p>
                          <w:p w:rsidR="00223472" w:rsidP="00223472" w14:textId="77777777">
                            <w:pPr>
                              <w:spacing w:after="60"/>
                              <w:rPr>
                                <w:rFonts w:ascii="Arial" w:hAnsi="Arial" w:cs="Arial"/>
                                <w:color w:val="7F7F7F" w:themeColor="text1" w:themeTint="80"/>
                                <w:sz w:val="20"/>
                                <w:szCs w:val="20"/>
                              </w:rPr>
                            </w:pPr>
                            <w:r>
                              <w:rPr>
                                <w:rFonts w:ascii="Arial" w:hAnsi="Arial" w:cs="Arial"/>
                                <w:color w:val="7F7F7F" w:themeColor="text1" w:themeTint="80"/>
                                <w:sz w:val="20"/>
                                <w:szCs w:val="20"/>
                              </w:rPr>
                              <w:t xml:space="preserve">In fiduciary management arrangements, the trustees will often delegate monitoring ESG integration and asset stewardship to its fiduciary manager. </w:t>
                            </w:r>
                          </w:p>
                          <w:p w:rsidR="00223472" w:rsidRPr="00D71C61" w:rsidP="00223472" w14:textId="77777777">
                            <w:pPr>
                              <w:spacing w:after="60"/>
                              <w:rPr>
                                <w:rFonts w:ascii="Arial" w:hAnsi="Arial" w:cs="Arial"/>
                                <w:i/>
                                <w:iCs/>
                                <w:color w:val="7F7F7F" w:themeColor="text1" w:themeTint="8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6" style="width:141.75pt;height:262.1pt;margin-top:3.45pt;margin-left:375.65pt;mso-height-percent:0;mso-height-relative:margin;mso-position-horizontal-relative:margin;mso-width-percent:0;mso-width-relative:margin;mso-wrap-distance-bottom:0;mso-wrap-distance-left:9pt;mso-wrap-distance-right:9pt;mso-wrap-distance-top:0;mso-wrap-style:square;position:absolute;visibility:visible;v-text-anchor:top;z-index:251661312" fillcolor="#daebf1" stroked="f" strokeweight="1pt">
                <v:textbox>
                  <w:txbxContent>
                    <w:p w:rsidR="00223472" w:rsidRPr="00C67E9C" w:rsidP="00223472" w14:paraId="066AEF63" w14:textId="77777777">
                      <w:pPr>
                        <w:rPr>
                          <w:rFonts w:ascii="Arial" w:hAnsi="Arial" w:cs="Arial"/>
                          <w:color w:val="0083A9"/>
                          <w:sz w:val="24"/>
                          <w:szCs w:val="24"/>
                        </w:rPr>
                      </w:pPr>
                      <w:r w:rsidRPr="00C67E9C">
                        <w:rPr>
                          <w:rFonts w:ascii="Arial" w:hAnsi="Arial" w:cs="Arial"/>
                          <w:color w:val="0083A9"/>
                          <w:sz w:val="24"/>
                          <w:szCs w:val="24"/>
                        </w:rPr>
                        <w:t xml:space="preserve">What is </w:t>
                      </w:r>
                      <w:r>
                        <w:rPr>
                          <w:rFonts w:ascii="Arial" w:hAnsi="Arial" w:cs="Arial"/>
                          <w:color w:val="0083A9"/>
                          <w:sz w:val="24"/>
                          <w:szCs w:val="24"/>
                        </w:rPr>
                        <w:t>fiduciary management</w:t>
                      </w:r>
                      <w:r w:rsidRPr="00C67E9C">
                        <w:rPr>
                          <w:rFonts w:ascii="Arial" w:hAnsi="Arial" w:cs="Arial"/>
                          <w:color w:val="0083A9"/>
                          <w:sz w:val="24"/>
                          <w:szCs w:val="24"/>
                        </w:rPr>
                        <w:t>?</w:t>
                      </w:r>
                    </w:p>
                    <w:p w:rsidR="00223472" w:rsidP="00223472" w14:paraId="4F6E685B" w14:textId="77777777">
                      <w:pPr>
                        <w:spacing w:after="60"/>
                        <w:rPr>
                          <w:rFonts w:ascii="Arial" w:hAnsi="Arial" w:cs="Arial"/>
                          <w:color w:val="7F7F7F" w:themeColor="text1" w:themeTint="80"/>
                          <w:sz w:val="20"/>
                          <w:szCs w:val="20"/>
                        </w:rPr>
                      </w:pPr>
                      <w:r>
                        <w:rPr>
                          <w:rFonts w:ascii="Arial" w:hAnsi="Arial" w:cs="Arial"/>
                          <w:color w:val="7F7F7F" w:themeColor="text1" w:themeTint="80"/>
                          <w:sz w:val="20"/>
                          <w:szCs w:val="20"/>
                        </w:rPr>
                        <w:t xml:space="preserve">Fiduciary management is the delegation of some, or all, of the day-to-day investment decisions and implementation to a fiduciary manager. But the trustees still retain responsibility for setting the high-level investment strategy. </w:t>
                      </w:r>
                    </w:p>
                    <w:p w:rsidR="00223472" w:rsidP="00223472" w14:paraId="59A63829" w14:textId="77777777">
                      <w:pPr>
                        <w:spacing w:after="60"/>
                        <w:rPr>
                          <w:rFonts w:ascii="Arial" w:hAnsi="Arial" w:cs="Arial"/>
                          <w:color w:val="7F7F7F" w:themeColor="text1" w:themeTint="80"/>
                          <w:sz w:val="20"/>
                          <w:szCs w:val="20"/>
                        </w:rPr>
                      </w:pPr>
                      <w:r>
                        <w:rPr>
                          <w:rFonts w:ascii="Arial" w:hAnsi="Arial" w:cs="Arial"/>
                          <w:color w:val="7F7F7F" w:themeColor="text1" w:themeTint="80"/>
                          <w:sz w:val="20"/>
                          <w:szCs w:val="20"/>
                        </w:rPr>
                        <w:t xml:space="preserve">In fiduciary management arrangements, the trustees will often delegate monitoring ESG integration and asset stewardship to its fiduciary manager. </w:t>
                      </w:r>
                    </w:p>
                    <w:p w:rsidR="00223472" w:rsidRPr="00D71C61" w:rsidP="00223472" w14:paraId="58C55336" w14:textId="77777777">
                      <w:pPr>
                        <w:spacing w:after="60"/>
                        <w:rPr>
                          <w:rFonts w:ascii="Arial" w:hAnsi="Arial" w:cs="Arial"/>
                          <w:i/>
                          <w:iCs/>
                          <w:color w:val="7F7F7F" w:themeColor="text1" w:themeTint="80"/>
                          <w:sz w:val="18"/>
                          <w:szCs w:val="18"/>
                        </w:rPr>
                      </w:pPr>
                    </w:p>
                  </w:txbxContent>
                </v:textbox>
                <w10:wrap anchorx="margin"/>
              </v:rect>
            </w:pict>
          </mc:Fallback>
        </mc:AlternateContent>
      </w:r>
      <w:r w:rsidRPr="00B80858" w:rsidR="00B7177F">
        <w:rPr>
          <w:rFonts w:ascii="Arial" w:hAnsi="Arial" w:cs="Arial"/>
          <w:b/>
          <w:bCs/>
          <w:sz w:val="20"/>
          <w:szCs w:val="20"/>
        </w:rPr>
        <w:t>Our fiduciary manager’s e</w:t>
      </w:r>
      <w:r w:rsidRPr="00B80858" w:rsidR="00B433F4">
        <w:rPr>
          <w:rFonts w:ascii="Arial" w:hAnsi="Arial" w:cs="Arial"/>
          <w:b/>
          <w:bCs/>
          <w:sz w:val="20"/>
          <w:szCs w:val="20"/>
        </w:rPr>
        <w:t>ngagement</w:t>
      </w:r>
      <w:r w:rsidRPr="00B80858" w:rsidR="00983D9A">
        <w:rPr>
          <w:rFonts w:ascii="Arial" w:hAnsi="Arial" w:cs="Arial"/>
          <w:b/>
          <w:bCs/>
          <w:sz w:val="20"/>
          <w:szCs w:val="20"/>
        </w:rPr>
        <w:t xml:space="preserve"> </w:t>
      </w:r>
      <w:r w:rsidRPr="00B80858" w:rsidR="00B7177F">
        <w:rPr>
          <w:rFonts w:ascii="Arial" w:hAnsi="Arial" w:cs="Arial"/>
          <w:b/>
          <w:bCs/>
          <w:sz w:val="20"/>
          <w:szCs w:val="20"/>
        </w:rPr>
        <w:t>activity</w:t>
      </w:r>
    </w:p>
    <w:p w:rsidR="00F6235A" w:rsidP="00B80858" w14:paraId="593A9EA2" w14:textId="77777777">
      <w:pPr>
        <w:spacing w:after="0" w:line="252" w:lineRule="auto"/>
        <w:jc w:val="both"/>
        <w:rPr>
          <w:rFonts w:ascii="Arial" w:eastAsia="Arial" w:hAnsi="Arial" w:cs="Arial"/>
          <w:sz w:val="20"/>
          <w:szCs w:val="20"/>
        </w:rPr>
      </w:pPr>
      <w:bookmarkStart w:id="13" w:name="_Hlk96592144"/>
      <w:r>
        <w:rPr>
          <w:rFonts w:ascii="Arial" w:eastAsia="Arial" w:hAnsi="Arial" w:cs="Arial"/>
          <w:sz w:val="20"/>
          <w:szCs w:val="20"/>
        </w:rPr>
        <w:t>We delegate the management of the Scheme's defined benefit assets to our fiduciary manager, Aon. Aon manages the Scheme's assets in a range of funds which can include multi-asset, multi-manager and liability matching funds. Aon selects the underlying investment managers on our behalf.</w:t>
      </w:r>
    </w:p>
    <w:p w:rsidR="00F6235A" w:rsidP="00B80858" w14:paraId="38E48199" w14:textId="77777777">
      <w:pPr>
        <w:spacing w:after="0" w:line="252" w:lineRule="auto"/>
        <w:jc w:val="both"/>
        <w:rPr>
          <w:rFonts w:ascii="Arial" w:eastAsia="Arial" w:hAnsi="Arial" w:cs="Arial"/>
          <w:sz w:val="20"/>
          <w:szCs w:val="20"/>
        </w:rPr>
      </w:pPr>
    </w:p>
    <w:p w:rsidR="00F6235A" w:rsidP="00B80858" w14:paraId="314C8EC5" w14:textId="204FA81E">
      <w:pPr>
        <w:spacing w:after="0" w:line="252" w:lineRule="auto"/>
        <w:jc w:val="both"/>
        <w:rPr>
          <w:rFonts w:ascii="Arial" w:eastAsia="Arial" w:hAnsi="Arial" w:cs="Arial"/>
          <w:sz w:val="20"/>
          <w:szCs w:val="20"/>
        </w:rPr>
      </w:pPr>
      <w:r>
        <w:rPr>
          <w:rFonts w:ascii="Arial" w:eastAsia="Arial" w:hAnsi="Arial" w:cs="Arial"/>
          <w:sz w:val="20"/>
          <w:szCs w:val="20"/>
        </w:rPr>
        <w:t xml:space="preserve">We delegate monitoring of ESG integration and stewardship of the underlying </w:t>
      </w:r>
      <w:r w:rsidR="000F2022">
        <w:rPr>
          <w:rFonts w:ascii="Arial" w:eastAsia="Arial" w:hAnsi="Arial" w:cs="Arial"/>
          <w:sz w:val="20"/>
          <w:szCs w:val="20"/>
        </w:rPr>
        <w:t xml:space="preserve">investment </w:t>
      </w:r>
      <w:r>
        <w:rPr>
          <w:rFonts w:ascii="Arial" w:eastAsia="Arial" w:hAnsi="Arial" w:cs="Arial"/>
          <w:sz w:val="20"/>
          <w:szCs w:val="20"/>
        </w:rPr>
        <w:t xml:space="preserve">managers to Aon. We have reviewed Aon’s latest annual Stewardship </w:t>
      </w:r>
      <w:r>
        <w:rPr>
          <w:rFonts w:ascii="Arial" w:eastAsia="Arial" w:hAnsi="Arial" w:cs="Arial"/>
          <w:sz w:val="20"/>
          <w:szCs w:val="20"/>
        </w:rPr>
        <w:t>Report</w:t>
      </w:r>
      <w:r>
        <w:rPr>
          <w:rFonts w:ascii="Arial" w:eastAsia="Arial" w:hAnsi="Arial" w:cs="Arial"/>
          <w:sz w:val="20"/>
          <w:szCs w:val="20"/>
        </w:rPr>
        <w:t xml:space="preserve"> and we believe it shows that Aon is using its resources to effectively influence positive outcomes in the funds in which it invests.</w:t>
      </w:r>
    </w:p>
    <w:p w:rsidR="00F6235A" w:rsidP="00B80858" w14:paraId="610DDA48" w14:textId="77777777">
      <w:pPr>
        <w:spacing w:after="0" w:line="252" w:lineRule="auto"/>
        <w:jc w:val="both"/>
        <w:rPr>
          <w:rFonts w:ascii="Arial" w:eastAsia="Arial" w:hAnsi="Arial" w:cs="Arial"/>
          <w:sz w:val="20"/>
          <w:szCs w:val="20"/>
        </w:rPr>
      </w:pPr>
    </w:p>
    <w:p w:rsidR="00F6235A" w:rsidP="00B80858" w14:paraId="6B7BD744" w14:textId="29F9E9AB">
      <w:pPr>
        <w:spacing w:after="0" w:line="252" w:lineRule="auto"/>
        <w:jc w:val="both"/>
        <w:rPr>
          <w:rFonts w:ascii="Arial" w:eastAsia="Arial" w:hAnsi="Arial" w:cs="Arial"/>
          <w:sz w:val="20"/>
          <w:szCs w:val="20"/>
        </w:rPr>
      </w:pPr>
      <w:r>
        <w:rPr>
          <w:rFonts w:ascii="Arial" w:eastAsia="Arial" w:hAnsi="Arial" w:cs="Arial"/>
          <w:sz w:val="20"/>
          <w:szCs w:val="20"/>
        </w:rPr>
        <w:t xml:space="preserve">Over the year, Aon held several engagement meetings with many of the underlying </w:t>
      </w:r>
      <w:r w:rsidR="000F2022">
        <w:rPr>
          <w:rFonts w:ascii="Arial" w:eastAsia="Arial" w:hAnsi="Arial" w:cs="Arial"/>
          <w:sz w:val="20"/>
          <w:szCs w:val="20"/>
        </w:rPr>
        <w:t xml:space="preserve">investment </w:t>
      </w:r>
      <w:r>
        <w:rPr>
          <w:rFonts w:ascii="Arial" w:eastAsia="Arial" w:hAnsi="Arial" w:cs="Arial"/>
          <w:sz w:val="20"/>
          <w:szCs w:val="20"/>
        </w:rPr>
        <w:t>managers in its strategies. Aon discussed ESG integration, stewardship, climate, biodiversity and modern slavery with the investment managers. Aon provided feedback to the managers after these meetings with the aim of improving the standard of ESG integration across its portfolios.</w:t>
      </w:r>
    </w:p>
    <w:p w:rsidR="00F6235A" w:rsidP="00B80858" w14:paraId="08FE471D" w14:textId="77777777">
      <w:pPr>
        <w:spacing w:after="0" w:line="252" w:lineRule="auto"/>
        <w:jc w:val="both"/>
        <w:rPr>
          <w:rFonts w:ascii="Arial" w:eastAsia="Arial" w:hAnsi="Arial" w:cs="Arial"/>
          <w:sz w:val="20"/>
          <w:szCs w:val="20"/>
        </w:rPr>
      </w:pPr>
    </w:p>
    <w:p w:rsidR="00F6235A" w:rsidP="00B80858" w14:paraId="1DFADD4F" w14:textId="77777777">
      <w:pPr>
        <w:spacing w:after="0" w:line="252" w:lineRule="auto"/>
        <w:jc w:val="both"/>
        <w:rPr>
          <w:rFonts w:ascii="Arial" w:eastAsia="Arial" w:hAnsi="Arial" w:cs="Arial"/>
          <w:sz w:val="20"/>
          <w:szCs w:val="20"/>
        </w:rPr>
      </w:pPr>
      <w:r>
        <w:rPr>
          <w:rFonts w:ascii="Arial" w:eastAsia="Arial" w:hAnsi="Arial" w:cs="Arial"/>
          <w:sz w:val="20"/>
          <w:szCs w:val="20"/>
        </w:rPr>
        <w:t>Over the year, Aon engaged with the industry through white papers, working groups, webinars and network events, as well as responding to multiple consultations.</w:t>
      </w:r>
    </w:p>
    <w:p w:rsidR="00F6235A" w:rsidP="00B80858" w14:paraId="3C08D4E6" w14:textId="77777777">
      <w:pPr>
        <w:spacing w:after="0" w:line="252" w:lineRule="auto"/>
        <w:jc w:val="both"/>
        <w:rPr>
          <w:rFonts w:ascii="Arial" w:eastAsia="Arial" w:hAnsi="Arial" w:cs="Arial"/>
          <w:sz w:val="20"/>
          <w:szCs w:val="20"/>
        </w:rPr>
      </w:pPr>
    </w:p>
    <w:p w:rsidR="00161F2C" w:rsidP="00276BF0" w14:paraId="1AF6EFFE" w14:textId="77777777">
      <w:pPr>
        <w:spacing w:after="0" w:line="252" w:lineRule="auto"/>
        <w:jc w:val="both"/>
        <w:rPr>
          <w:rFonts w:ascii="Arial" w:eastAsia="Arial" w:hAnsi="Arial" w:cs="Arial"/>
          <w:sz w:val="20"/>
          <w:szCs w:val="20"/>
        </w:rPr>
      </w:pPr>
      <w:r>
        <w:rPr>
          <w:rFonts w:ascii="Arial" w:eastAsia="Arial" w:hAnsi="Arial" w:cs="Arial"/>
          <w:sz w:val="20"/>
          <w:szCs w:val="20"/>
        </w:rPr>
        <w:t>In 2021, Aon committed to achieve net zero emissions by 2050, with a 50% reduction by 2030 for its fully delegated clients’ portfolios and defined contribution default strategies (relative to baseline year of 2019).</w:t>
      </w:r>
    </w:p>
    <w:p w:rsidR="00F6235A" w:rsidP="00B80858" w14:paraId="39DC540C" w14:textId="7AB6C253">
      <w:pPr>
        <w:spacing w:after="0" w:line="252" w:lineRule="auto"/>
        <w:jc w:val="both"/>
        <w:rPr>
          <w:rFonts w:ascii="Arial" w:eastAsia="Arial" w:hAnsi="Arial" w:cs="Arial"/>
          <w:sz w:val="20"/>
          <w:szCs w:val="20"/>
        </w:rPr>
      </w:pPr>
    </w:p>
    <w:p w:rsidR="00161F2C" w:rsidP="00276BF0" w14:paraId="461DAFD5" w14:textId="77777777">
      <w:pPr>
        <w:spacing w:after="0" w:line="252" w:lineRule="auto"/>
        <w:jc w:val="both"/>
        <w:rPr>
          <w:rFonts w:ascii="Arial" w:eastAsia="Arial" w:hAnsi="Arial" w:cs="Arial"/>
          <w:sz w:val="20"/>
          <w:szCs w:val="20"/>
        </w:rPr>
      </w:pPr>
      <w:r>
        <w:rPr>
          <w:rFonts w:ascii="Arial" w:eastAsia="Arial" w:hAnsi="Arial" w:cs="Arial"/>
          <w:sz w:val="20"/>
          <w:szCs w:val="20"/>
        </w:rPr>
        <w:t>Aon also successfully renewed its signatory status to the 2020 UK Stewardship Code, which is a voluntary code established by the Financial Reporting Council that sets high standards on stewardship for asset owners, investment managers and service providers.</w:t>
      </w:r>
    </w:p>
    <w:p w:rsidR="0014498F" w:rsidP="00B80858" w14:paraId="7D132AEB" w14:textId="4023460C">
      <w:pPr>
        <w:spacing w:after="0" w:line="252" w:lineRule="auto"/>
        <w:jc w:val="both"/>
        <w:rPr>
          <w:rFonts w:ascii="Arial" w:eastAsia="Arial" w:hAnsi="Arial" w:cs="Arial"/>
          <w:sz w:val="20"/>
          <w:szCs w:val="20"/>
        </w:rPr>
      </w:pPr>
      <w:bookmarkStart w:id="14" w:name="Bm_FM_EngActivity_Arial10"/>
      <w:bookmarkStart w:id="15" w:name="_Hlk105487030"/>
      <w:bookmarkEnd w:id="14"/>
    </w:p>
    <w:bookmarkEnd w:id="13"/>
    <w:bookmarkEnd w:id="15"/>
    <w:p w:rsidR="001F115D" w:rsidRPr="007F7E2E" w:rsidP="007F7E2E" w14:paraId="63628483" w14:textId="77777777">
      <w:pPr>
        <w:spacing w:after="0" w:line="240" w:lineRule="auto"/>
        <w:rPr>
          <w:rFonts w:ascii="Arial" w:eastAsia="Arial" w:hAnsi="Arial" w:cs="Arial"/>
          <w:sz w:val="20"/>
          <w:szCs w:val="20"/>
        </w:rPr>
      </w:pPr>
    </w:p>
    <w:bookmarkEnd w:id="12"/>
    <w:p w:rsidR="001F115D" w:rsidP="001F115D" w14:paraId="55827B44" w14:textId="77777777">
      <w:pPr>
        <w:spacing w:line="252" w:lineRule="auto"/>
        <w:jc w:val="both"/>
        <w:rPr>
          <w:rFonts w:ascii="Arial" w:hAnsi="Arial" w:cs="Arial"/>
          <w:i/>
          <w:iCs/>
          <w:sz w:val="16"/>
          <w:szCs w:val="16"/>
        </w:rPr>
        <w:sectPr w:rsidSect="00223472">
          <w:footerReference w:type="default" r:id="rId7"/>
          <w:pgSz w:w="11906" w:h="16838"/>
          <w:pgMar w:top="1440" w:right="3986" w:bottom="1440" w:left="851" w:header="708" w:footer="708" w:gutter="0"/>
          <w:cols w:space="708"/>
          <w:docGrid w:linePitch="360"/>
        </w:sectPr>
      </w:pPr>
    </w:p>
    <w:bookmarkStart w:id="16" w:name="Bm_VotingSection"/>
    <w:p w:rsidR="00184F16" w:rsidRPr="00B80858" w:rsidP="00B80858" w14:paraId="09BFCC34" w14:textId="24431938">
      <w:pPr>
        <w:spacing w:after="120" w:line="252" w:lineRule="auto"/>
        <w:ind w:right="-3260"/>
        <w:jc w:val="both"/>
        <w:rPr>
          <w:rFonts w:ascii="Arial" w:hAnsi="Arial" w:cs="Arial"/>
          <w:b/>
          <w:bCs/>
          <w:sz w:val="20"/>
          <w:szCs w:val="20"/>
        </w:rPr>
      </w:pPr>
      <w:r w:rsidRPr="00B80858">
        <w:rPr>
          <w:rFonts w:ascii="Arial" w:hAnsi="Arial" w:cs="Arial"/>
          <w:b/>
          <w:bCs/>
          <w:noProof/>
          <w:sz w:val="20"/>
          <w:szCs w:val="20"/>
        </w:rPr>
        <mc:AlternateContent>
          <mc:Choice Requires="wps">
            <w:drawing>
              <wp:anchor distT="0" distB="0" distL="114300" distR="114300" simplePos="0" relativeHeight="251662336" behindDoc="0" locked="0" layoutInCell="1" allowOverlap="1">
                <wp:simplePos x="0" y="0"/>
                <wp:positionH relativeFrom="column">
                  <wp:posOffset>4733290</wp:posOffset>
                </wp:positionH>
                <wp:positionV relativeFrom="paragraph">
                  <wp:posOffset>0</wp:posOffset>
                </wp:positionV>
                <wp:extent cx="1799590" cy="2274570"/>
                <wp:effectExtent l="0" t="0" r="0" b="0"/>
                <wp:wrapSquare wrapText="bothSides"/>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1799590" cy="2274570"/>
                        </a:xfrm>
                        <a:prstGeom prst="rect">
                          <a:avLst/>
                        </a:prstGeom>
                        <a:solidFill>
                          <a:srgbClr val="DAEBF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23472" w:rsidRPr="00C67E9C" w:rsidP="00223472" w14:textId="77777777">
                            <w:pPr>
                              <w:rPr>
                                <w:rFonts w:ascii="Arial" w:hAnsi="Arial" w:cs="Arial"/>
                                <w:color w:val="0083A9"/>
                                <w:sz w:val="24"/>
                                <w:szCs w:val="24"/>
                              </w:rPr>
                            </w:pPr>
                            <w:r w:rsidRPr="00C67E9C">
                              <w:rPr>
                                <w:rFonts w:ascii="Arial" w:hAnsi="Arial" w:cs="Arial"/>
                                <w:color w:val="0083A9"/>
                                <w:sz w:val="24"/>
                                <w:szCs w:val="24"/>
                              </w:rPr>
                              <w:t>Wh</w:t>
                            </w:r>
                            <w:r>
                              <w:rPr>
                                <w:rFonts w:ascii="Arial" w:hAnsi="Arial" w:cs="Arial"/>
                                <w:color w:val="0083A9"/>
                                <w:sz w:val="24"/>
                                <w:szCs w:val="24"/>
                              </w:rPr>
                              <w:t>y</w:t>
                            </w:r>
                            <w:r w:rsidRPr="00C67E9C">
                              <w:rPr>
                                <w:rFonts w:ascii="Arial" w:hAnsi="Arial" w:cs="Arial"/>
                                <w:color w:val="0083A9"/>
                                <w:sz w:val="24"/>
                                <w:szCs w:val="24"/>
                              </w:rPr>
                              <w:t xml:space="preserve"> is </w:t>
                            </w:r>
                            <w:r>
                              <w:rPr>
                                <w:rFonts w:ascii="Arial" w:hAnsi="Arial" w:cs="Arial"/>
                                <w:color w:val="0083A9"/>
                                <w:sz w:val="24"/>
                                <w:szCs w:val="24"/>
                              </w:rPr>
                              <w:t>voting important</w:t>
                            </w:r>
                            <w:r w:rsidRPr="00C67E9C">
                              <w:rPr>
                                <w:rFonts w:ascii="Arial" w:hAnsi="Arial" w:cs="Arial"/>
                                <w:color w:val="0083A9"/>
                                <w:sz w:val="24"/>
                                <w:szCs w:val="24"/>
                              </w:rPr>
                              <w:t>?</w:t>
                            </w:r>
                          </w:p>
                          <w:p w:rsidR="00223472" w:rsidRPr="00D71C61" w:rsidP="00223472" w14:textId="77777777">
                            <w:pPr>
                              <w:pStyle w:val="NormalWeb"/>
                              <w:spacing w:before="0" w:beforeAutospacing="0" w:after="60" w:afterAutospacing="0" w:line="259" w:lineRule="auto"/>
                              <w:rPr>
                                <w:rFonts w:ascii="Arial" w:hAnsi="Arial" w:cs="Arial"/>
                                <w:color w:val="7F7F7F" w:themeColor="text1" w:themeTint="80"/>
                                <w:sz w:val="20"/>
                                <w:szCs w:val="20"/>
                              </w:rPr>
                            </w:pPr>
                            <w:r w:rsidRPr="00D71C61">
                              <w:rPr>
                                <w:rFonts w:ascii="Arial" w:hAnsi="Arial" w:cs="Arial"/>
                                <w:color w:val="7F7F7F" w:themeColor="text1" w:themeTint="80"/>
                                <w:sz w:val="20"/>
                                <w:szCs w:val="20"/>
                              </w:rPr>
                              <w:t>Voting is an essential tool for listed equity investors to communicate their views to a company and input into key business decisions. Resolutions proposed by shareholders increasingly relate to social and environmental issues</w:t>
                            </w:r>
                            <w:r w:rsidR="002B335A">
                              <w:rPr>
                                <w:rFonts w:ascii="Arial" w:hAnsi="Arial" w:cs="Arial"/>
                                <w:color w:val="7F7F7F" w:themeColor="text1" w:themeTint="80"/>
                                <w:sz w:val="20"/>
                                <w:szCs w:val="20"/>
                              </w:rPr>
                              <w:t>.</w:t>
                            </w:r>
                          </w:p>
                          <w:p w:rsidR="00223472" w:rsidRPr="00D71C61" w:rsidP="00223472" w14:textId="77777777">
                            <w:pPr>
                              <w:pStyle w:val="NormalWeb"/>
                              <w:spacing w:before="0" w:beforeAutospacing="0" w:after="60" w:afterAutospacing="0" w:line="259" w:lineRule="auto"/>
                              <w:rPr>
                                <w:rFonts w:ascii="Arial" w:hAnsi="Arial" w:cs="Arial"/>
                                <w:i/>
                                <w:iCs/>
                                <w:color w:val="7F7F7F" w:themeColor="text1" w:themeTint="80"/>
                                <w:sz w:val="18"/>
                                <w:szCs w:val="18"/>
                              </w:rPr>
                            </w:pPr>
                            <w:r w:rsidRPr="00D71C61">
                              <w:rPr>
                                <w:rFonts w:ascii="Arial" w:hAnsi="Arial" w:cs="Arial"/>
                                <w:i/>
                                <w:iCs/>
                                <w:color w:val="7F7F7F" w:themeColor="text1" w:themeTint="80"/>
                                <w:sz w:val="18"/>
                                <w:szCs w:val="18"/>
                              </w:rPr>
                              <w:t>Source: UN PRI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7" style="width:141.7pt;height:179.1pt;margin-top:0;margin-left:372.7pt;mso-height-percent:0;mso-height-relative:margin;mso-width-percent:0;mso-width-relative:margin;mso-wrap-distance-bottom:0;mso-wrap-distance-left:9pt;mso-wrap-distance-right:9pt;mso-wrap-distance-top:0;mso-wrap-style:square;position:absolute;visibility:visible;v-text-anchor:top;z-index:251663360" fillcolor="#daebf1" stroked="f" strokeweight="1pt">
                <v:textbox>
                  <w:txbxContent>
                    <w:p w:rsidR="00223472" w:rsidRPr="00C67E9C" w:rsidP="00223472" w14:paraId="5D25019F" w14:textId="77777777">
                      <w:pPr>
                        <w:rPr>
                          <w:rFonts w:ascii="Arial" w:hAnsi="Arial" w:cs="Arial"/>
                          <w:color w:val="0083A9"/>
                          <w:sz w:val="24"/>
                          <w:szCs w:val="24"/>
                        </w:rPr>
                      </w:pPr>
                      <w:r w:rsidRPr="00C67E9C">
                        <w:rPr>
                          <w:rFonts w:ascii="Arial" w:hAnsi="Arial" w:cs="Arial"/>
                          <w:color w:val="0083A9"/>
                          <w:sz w:val="24"/>
                          <w:szCs w:val="24"/>
                        </w:rPr>
                        <w:t>Wh</w:t>
                      </w:r>
                      <w:r>
                        <w:rPr>
                          <w:rFonts w:ascii="Arial" w:hAnsi="Arial" w:cs="Arial"/>
                          <w:color w:val="0083A9"/>
                          <w:sz w:val="24"/>
                          <w:szCs w:val="24"/>
                        </w:rPr>
                        <w:t>y</w:t>
                      </w:r>
                      <w:r w:rsidRPr="00C67E9C">
                        <w:rPr>
                          <w:rFonts w:ascii="Arial" w:hAnsi="Arial" w:cs="Arial"/>
                          <w:color w:val="0083A9"/>
                          <w:sz w:val="24"/>
                          <w:szCs w:val="24"/>
                        </w:rPr>
                        <w:t xml:space="preserve"> is </w:t>
                      </w:r>
                      <w:r>
                        <w:rPr>
                          <w:rFonts w:ascii="Arial" w:hAnsi="Arial" w:cs="Arial"/>
                          <w:color w:val="0083A9"/>
                          <w:sz w:val="24"/>
                          <w:szCs w:val="24"/>
                        </w:rPr>
                        <w:t>voting important</w:t>
                      </w:r>
                      <w:r w:rsidRPr="00C67E9C">
                        <w:rPr>
                          <w:rFonts w:ascii="Arial" w:hAnsi="Arial" w:cs="Arial"/>
                          <w:color w:val="0083A9"/>
                          <w:sz w:val="24"/>
                          <w:szCs w:val="24"/>
                        </w:rPr>
                        <w:t>?</w:t>
                      </w:r>
                    </w:p>
                    <w:p w:rsidR="00223472" w:rsidRPr="00D71C61" w:rsidP="00223472" w14:paraId="6FBC13BD" w14:textId="77777777">
                      <w:pPr>
                        <w:pStyle w:val="NormalWeb"/>
                        <w:spacing w:before="0" w:beforeAutospacing="0" w:after="60" w:afterAutospacing="0" w:line="259" w:lineRule="auto"/>
                        <w:rPr>
                          <w:rFonts w:ascii="Arial" w:hAnsi="Arial" w:cs="Arial"/>
                          <w:color w:val="7F7F7F" w:themeColor="text1" w:themeTint="80"/>
                          <w:sz w:val="20"/>
                          <w:szCs w:val="20"/>
                        </w:rPr>
                      </w:pPr>
                      <w:r w:rsidRPr="00D71C61">
                        <w:rPr>
                          <w:rFonts w:ascii="Arial" w:hAnsi="Arial" w:cs="Arial"/>
                          <w:color w:val="7F7F7F" w:themeColor="text1" w:themeTint="80"/>
                          <w:sz w:val="20"/>
                          <w:szCs w:val="20"/>
                        </w:rPr>
                        <w:t>Voting is an essential tool for listed equity investors to communicate their views to a company and input into key business decisions. Resolutions proposed by shareholders increasingly relate to social and environmental issues</w:t>
                      </w:r>
                      <w:r w:rsidR="002B335A">
                        <w:rPr>
                          <w:rFonts w:ascii="Arial" w:hAnsi="Arial" w:cs="Arial"/>
                          <w:color w:val="7F7F7F" w:themeColor="text1" w:themeTint="80"/>
                          <w:sz w:val="20"/>
                          <w:szCs w:val="20"/>
                        </w:rPr>
                        <w:t>.</w:t>
                      </w:r>
                    </w:p>
                    <w:p w:rsidR="00223472" w:rsidRPr="00D71C61" w:rsidP="00223472" w14:paraId="1D4E37D8" w14:textId="77777777">
                      <w:pPr>
                        <w:pStyle w:val="NormalWeb"/>
                        <w:spacing w:before="0" w:beforeAutospacing="0" w:after="60" w:afterAutospacing="0" w:line="259" w:lineRule="auto"/>
                        <w:rPr>
                          <w:rFonts w:ascii="Arial" w:hAnsi="Arial" w:cs="Arial"/>
                          <w:i/>
                          <w:iCs/>
                          <w:color w:val="7F7F7F" w:themeColor="text1" w:themeTint="80"/>
                          <w:sz w:val="18"/>
                          <w:szCs w:val="18"/>
                        </w:rPr>
                      </w:pPr>
                      <w:r w:rsidRPr="00D71C61">
                        <w:rPr>
                          <w:rFonts w:ascii="Arial" w:hAnsi="Arial" w:cs="Arial"/>
                          <w:i/>
                          <w:iCs/>
                          <w:color w:val="7F7F7F" w:themeColor="text1" w:themeTint="80"/>
                          <w:sz w:val="18"/>
                          <w:szCs w:val="18"/>
                        </w:rPr>
                        <w:t>Source: UN PRI</w:t>
                      </w:r>
                    </w:p>
                  </w:txbxContent>
                </v:textbox>
                <w10:wrap type="square"/>
              </v:rect>
            </w:pict>
          </mc:Fallback>
        </mc:AlternateContent>
      </w:r>
      <w:r w:rsidRPr="00B80858" w:rsidR="007F785E">
        <w:rPr>
          <w:rFonts w:ascii="Arial" w:hAnsi="Arial" w:cs="Arial"/>
          <w:b/>
          <w:bCs/>
          <w:sz w:val="20"/>
          <w:szCs w:val="20"/>
        </w:rPr>
        <w:t>O</w:t>
      </w:r>
      <w:r w:rsidRPr="00B80858" w:rsidR="003058BC">
        <w:rPr>
          <w:rFonts w:ascii="Arial" w:hAnsi="Arial" w:cs="Arial"/>
          <w:b/>
          <w:bCs/>
          <w:sz w:val="20"/>
          <w:szCs w:val="20"/>
        </w:rPr>
        <w:t>ur m</w:t>
      </w:r>
      <w:r w:rsidRPr="00B80858" w:rsidR="003E635B">
        <w:rPr>
          <w:rFonts w:ascii="Arial" w:hAnsi="Arial" w:cs="Arial"/>
          <w:b/>
          <w:bCs/>
          <w:sz w:val="20"/>
          <w:szCs w:val="20"/>
        </w:rPr>
        <w:t>anager</w:t>
      </w:r>
      <w:r w:rsidRPr="00B80858" w:rsidR="00E940A6">
        <w:rPr>
          <w:rFonts w:ascii="Arial" w:hAnsi="Arial" w:cs="Arial"/>
          <w:b/>
          <w:bCs/>
          <w:sz w:val="20"/>
          <w:szCs w:val="20"/>
        </w:rPr>
        <w:t>s’</w:t>
      </w:r>
      <w:r w:rsidRPr="00B80858" w:rsidR="003E635B">
        <w:rPr>
          <w:rFonts w:ascii="Arial" w:hAnsi="Arial" w:cs="Arial"/>
          <w:b/>
          <w:bCs/>
          <w:sz w:val="20"/>
          <w:szCs w:val="20"/>
        </w:rPr>
        <w:t xml:space="preserve"> </w:t>
      </w:r>
      <w:r w:rsidRPr="00B80858" w:rsidR="00CD0B21">
        <w:rPr>
          <w:rFonts w:ascii="Arial" w:hAnsi="Arial" w:cs="Arial"/>
          <w:b/>
          <w:bCs/>
          <w:sz w:val="20"/>
          <w:szCs w:val="20"/>
        </w:rPr>
        <w:t>v</w:t>
      </w:r>
      <w:r w:rsidRPr="00B80858" w:rsidR="00F35348">
        <w:rPr>
          <w:rFonts w:ascii="Arial" w:hAnsi="Arial" w:cs="Arial"/>
          <w:b/>
          <w:bCs/>
          <w:sz w:val="20"/>
          <w:szCs w:val="20"/>
        </w:rPr>
        <w:t xml:space="preserve">oting activity </w:t>
      </w:r>
    </w:p>
    <w:p w:rsidR="00422331" w:rsidRPr="00EB05A4" w:rsidP="00EC45CA" w14:paraId="1E099AF8" w14:textId="5C30AF0E">
      <w:pPr>
        <w:spacing w:after="0" w:line="252" w:lineRule="auto"/>
        <w:jc w:val="both"/>
        <w:rPr>
          <w:rFonts w:ascii="Arial" w:hAnsi="Arial" w:cs="Arial"/>
          <w:sz w:val="20"/>
          <w:szCs w:val="20"/>
        </w:rPr>
      </w:pPr>
      <w:r w:rsidRPr="00BD669B">
        <w:rPr>
          <w:rFonts w:ascii="Arial" w:hAnsi="Arial" w:cs="Arial"/>
          <w:sz w:val="20"/>
          <w:szCs w:val="20"/>
        </w:rPr>
        <w:t xml:space="preserve">Good </w:t>
      </w:r>
      <w:r w:rsidRPr="00BD669B" w:rsidR="00874132">
        <w:rPr>
          <w:rFonts w:ascii="Arial" w:hAnsi="Arial" w:cs="Arial"/>
          <w:sz w:val="20"/>
          <w:szCs w:val="20"/>
        </w:rPr>
        <w:t xml:space="preserve">asset </w:t>
      </w:r>
      <w:r w:rsidRPr="00BD669B">
        <w:rPr>
          <w:rFonts w:ascii="Arial" w:hAnsi="Arial" w:cs="Arial"/>
          <w:sz w:val="20"/>
          <w:szCs w:val="20"/>
        </w:rPr>
        <w:t xml:space="preserve">stewardship means being aware and active on voting issues, corporate actions and other responsibilities tied to owning a </w:t>
      </w:r>
      <w:r w:rsidRPr="00BD669B" w:rsidR="000B2722">
        <w:rPr>
          <w:rFonts w:ascii="Arial" w:hAnsi="Arial" w:cs="Arial"/>
          <w:sz w:val="20"/>
          <w:szCs w:val="20"/>
        </w:rPr>
        <w:t xml:space="preserve">company’s </w:t>
      </w:r>
      <w:r w:rsidRPr="00BD669B">
        <w:rPr>
          <w:rFonts w:ascii="Arial" w:hAnsi="Arial" w:cs="Arial"/>
          <w:sz w:val="20"/>
          <w:szCs w:val="20"/>
        </w:rPr>
        <w:t xml:space="preserve">stock. Understanding and monitoring the stewardship that investment managers practice </w:t>
      </w:r>
      <w:r w:rsidRPr="00BD669B" w:rsidR="007F785E">
        <w:rPr>
          <w:rFonts w:ascii="Arial" w:hAnsi="Arial" w:cs="Arial"/>
          <w:sz w:val="20"/>
          <w:szCs w:val="20"/>
        </w:rPr>
        <w:t xml:space="preserve">in relation to the </w:t>
      </w:r>
      <w:r w:rsidR="00EB05A4">
        <w:rPr>
          <w:rFonts w:ascii="Arial" w:hAnsi="Arial" w:cs="Arial"/>
          <w:sz w:val="20"/>
          <w:szCs w:val="20"/>
        </w:rPr>
        <w:t>Scheme</w:t>
      </w:r>
      <w:r w:rsidRPr="00EB05A4" w:rsidR="007F785E">
        <w:rPr>
          <w:rFonts w:ascii="Arial" w:hAnsi="Arial" w:cs="Arial"/>
          <w:sz w:val="20"/>
          <w:szCs w:val="20"/>
        </w:rPr>
        <w:t xml:space="preserve">’s investments </w:t>
      </w:r>
      <w:r w:rsidRPr="00EB05A4">
        <w:rPr>
          <w:rFonts w:ascii="Arial" w:hAnsi="Arial" w:cs="Arial"/>
          <w:sz w:val="20"/>
          <w:szCs w:val="20"/>
        </w:rPr>
        <w:t xml:space="preserve">is an important factor in deciding whether a manager remains the right choice for the </w:t>
      </w:r>
      <w:r w:rsidR="00EB05A4">
        <w:rPr>
          <w:rFonts w:ascii="Arial" w:hAnsi="Arial" w:cs="Arial"/>
          <w:sz w:val="20"/>
          <w:szCs w:val="20"/>
        </w:rPr>
        <w:t>Scheme</w:t>
      </w:r>
      <w:r w:rsidRPr="00EB05A4" w:rsidR="003041F8">
        <w:rPr>
          <w:rFonts w:ascii="Arial" w:hAnsi="Arial" w:cs="Arial"/>
          <w:sz w:val="20"/>
          <w:szCs w:val="20"/>
        </w:rPr>
        <w:t>.</w:t>
      </w:r>
    </w:p>
    <w:p w:rsidR="00422331" w:rsidRPr="00EB05A4" w:rsidP="00EC45CA" w14:paraId="718AD8C8" w14:textId="77777777">
      <w:pPr>
        <w:spacing w:after="0" w:line="252" w:lineRule="auto"/>
        <w:jc w:val="both"/>
        <w:rPr>
          <w:rFonts w:ascii="Arial" w:hAnsi="Arial" w:cs="Arial"/>
          <w:sz w:val="20"/>
          <w:szCs w:val="20"/>
        </w:rPr>
      </w:pPr>
    </w:p>
    <w:p w:rsidR="009B147F" w:rsidRPr="00B80858" w:rsidP="00EC45CA" w14:paraId="76AB75CD" w14:textId="52B89EF3">
      <w:pPr>
        <w:spacing w:after="0" w:line="252" w:lineRule="auto"/>
        <w:jc w:val="both"/>
        <w:rPr>
          <w:rFonts w:ascii="Arial" w:hAnsi="Arial" w:cs="Arial"/>
          <w:sz w:val="20"/>
          <w:szCs w:val="20"/>
        </w:rPr>
      </w:pPr>
      <w:r w:rsidRPr="00EB05A4">
        <w:rPr>
          <w:rFonts w:ascii="Arial" w:hAnsi="Arial" w:cs="Arial"/>
          <w:sz w:val="20"/>
          <w:szCs w:val="20"/>
        </w:rPr>
        <w:t xml:space="preserve">Voting rights are </w:t>
      </w:r>
      <w:r w:rsidRPr="00EB05A4" w:rsidR="00422331">
        <w:rPr>
          <w:rFonts w:ascii="Arial" w:hAnsi="Arial" w:cs="Arial"/>
          <w:sz w:val="20"/>
          <w:szCs w:val="20"/>
        </w:rPr>
        <w:t xml:space="preserve">attached to </w:t>
      </w:r>
      <w:r w:rsidRPr="00EB05A4">
        <w:rPr>
          <w:rFonts w:ascii="Arial" w:hAnsi="Arial" w:cs="Arial"/>
          <w:sz w:val="20"/>
          <w:szCs w:val="20"/>
        </w:rPr>
        <w:t>listed equity</w:t>
      </w:r>
      <w:r w:rsidRPr="00EB05A4" w:rsidR="00422331">
        <w:rPr>
          <w:rFonts w:ascii="Arial" w:hAnsi="Arial" w:cs="Arial"/>
          <w:sz w:val="20"/>
          <w:szCs w:val="20"/>
        </w:rPr>
        <w:t xml:space="preserve"> shares</w:t>
      </w:r>
      <w:r w:rsidRPr="00EB05A4">
        <w:rPr>
          <w:rFonts w:ascii="Arial" w:hAnsi="Arial" w:cs="Arial"/>
          <w:sz w:val="20"/>
          <w:szCs w:val="20"/>
        </w:rPr>
        <w:t xml:space="preserve">, including equities held in multi-asset funds. </w:t>
      </w:r>
      <w:r w:rsidRPr="00EB05A4" w:rsidR="007F785E">
        <w:rPr>
          <w:rFonts w:ascii="Arial" w:hAnsi="Arial" w:cs="Arial"/>
          <w:sz w:val="20"/>
          <w:szCs w:val="20"/>
        </w:rPr>
        <w:t>We</w:t>
      </w:r>
      <w:r w:rsidRPr="00EB05A4" w:rsidR="000B2722">
        <w:rPr>
          <w:rFonts w:ascii="Arial" w:hAnsi="Arial" w:cs="Arial"/>
          <w:sz w:val="20"/>
          <w:szCs w:val="20"/>
        </w:rPr>
        <w:t xml:space="preserve"> expect the</w:t>
      </w:r>
      <w:r w:rsidRPr="00EB05A4" w:rsidR="007F785E">
        <w:rPr>
          <w:rFonts w:ascii="Arial" w:hAnsi="Arial" w:cs="Arial"/>
          <w:sz w:val="20"/>
          <w:szCs w:val="20"/>
        </w:rPr>
        <w:t xml:space="preserve"> </w:t>
      </w:r>
      <w:r w:rsidR="00EB05A4">
        <w:rPr>
          <w:rFonts w:ascii="Arial" w:hAnsi="Arial" w:cs="Arial"/>
          <w:sz w:val="20"/>
          <w:szCs w:val="20"/>
        </w:rPr>
        <w:t>Scheme</w:t>
      </w:r>
      <w:r w:rsidRPr="00EB05A4" w:rsidR="007F785E">
        <w:rPr>
          <w:rFonts w:ascii="Arial" w:hAnsi="Arial" w:cs="Arial"/>
          <w:sz w:val="20"/>
          <w:szCs w:val="20"/>
        </w:rPr>
        <w:t>’s</w:t>
      </w:r>
      <w:r w:rsidRPr="00EB05A4" w:rsidR="000B2722">
        <w:rPr>
          <w:rFonts w:ascii="Arial" w:hAnsi="Arial" w:cs="Arial"/>
          <w:sz w:val="20"/>
          <w:szCs w:val="20"/>
        </w:rPr>
        <w:t xml:space="preserve"> equity-owning </w:t>
      </w:r>
      <w:r w:rsidRPr="00EB05A4" w:rsidR="002D244B">
        <w:rPr>
          <w:rFonts w:ascii="Arial" w:hAnsi="Arial" w:cs="Arial"/>
          <w:sz w:val="20"/>
          <w:szCs w:val="20"/>
        </w:rPr>
        <w:t xml:space="preserve">investment </w:t>
      </w:r>
      <w:r w:rsidRPr="00EB05A4" w:rsidR="000B2722">
        <w:rPr>
          <w:rFonts w:ascii="Arial" w:hAnsi="Arial" w:cs="Arial"/>
          <w:sz w:val="20"/>
          <w:szCs w:val="20"/>
        </w:rPr>
        <w:t xml:space="preserve">managers to responsibly exercise their voting rights. </w:t>
      </w:r>
    </w:p>
    <w:p w:rsidR="009B147F" w:rsidRPr="00EB05A4" w:rsidP="00EC45CA" w14:paraId="2AD33122" w14:textId="77777777">
      <w:pPr>
        <w:spacing w:after="0" w:line="252" w:lineRule="auto"/>
        <w:jc w:val="both"/>
        <w:rPr>
          <w:rFonts w:ascii="Arial" w:hAnsi="Arial" w:cs="Arial"/>
          <w:sz w:val="20"/>
          <w:szCs w:val="20"/>
        </w:rPr>
      </w:pPr>
    </w:p>
    <w:p w:rsidR="00A94DE0" w:rsidRPr="00B80858" w:rsidP="00EC45CA" w14:paraId="0310C257" w14:textId="77777777">
      <w:pPr>
        <w:spacing w:after="120" w:line="252" w:lineRule="auto"/>
        <w:ind w:right="-3260"/>
        <w:jc w:val="both"/>
        <w:rPr>
          <w:rFonts w:ascii="Arial" w:hAnsi="Arial" w:cs="Arial"/>
          <w:b/>
          <w:bCs/>
          <w:sz w:val="20"/>
          <w:szCs w:val="20"/>
        </w:rPr>
      </w:pPr>
      <w:r w:rsidRPr="00B80858">
        <w:rPr>
          <w:rFonts w:ascii="Arial" w:hAnsi="Arial" w:cs="Arial"/>
          <w:b/>
          <w:bCs/>
          <w:sz w:val="20"/>
          <w:szCs w:val="20"/>
        </w:rPr>
        <w:t>Voting statistics</w:t>
      </w:r>
    </w:p>
    <w:p w:rsidR="00B3187A" w:rsidRPr="00BD669B" w:rsidP="00EC45CA" w14:paraId="34FC470B" w14:textId="7046D46F">
      <w:pPr>
        <w:spacing w:after="0" w:line="252" w:lineRule="auto"/>
        <w:jc w:val="both"/>
        <w:rPr>
          <w:rFonts w:ascii="Arial" w:hAnsi="Arial" w:cs="Arial"/>
          <w:sz w:val="20"/>
          <w:szCs w:val="20"/>
        </w:rPr>
      </w:pPr>
      <w:r w:rsidRPr="00EB05A4">
        <w:rPr>
          <w:rFonts w:ascii="Arial" w:hAnsi="Arial" w:cs="Arial"/>
          <w:sz w:val="20"/>
          <w:szCs w:val="20"/>
        </w:rPr>
        <w:t xml:space="preserve">The table below shows the voting statistics for </w:t>
      </w:r>
      <w:r w:rsidRPr="00EB05A4" w:rsidR="00CD0B21">
        <w:rPr>
          <w:rFonts w:ascii="Arial" w:hAnsi="Arial" w:cs="Arial"/>
          <w:sz w:val="20"/>
          <w:szCs w:val="20"/>
        </w:rPr>
        <w:t xml:space="preserve">the </w:t>
      </w:r>
      <w:r w:rsidR="00EB05A4">
        <w:rPr>
          <w:rFonts w:ascii="Arial" w:hAnsi="Arial" w:cs="Arial"/>
          <w:sz w:val="20"/>
          <w:szCs w:val="20"/>
        </w:rPr>
        <w:t>Scheme</w:t>
      </w:r>
      <w:r w:rsidRPr="00EB05A4" w:rsidR="00CD0B21">
        <w:rPr>
          <w:rFonts w:ascii="Arial" w:hAnsi="Arial" w:cs="Arial"/>
          <w:sz w:val="20"/>
          <w:szCs w:val="20"/>
        </w:rPr>
        <w:t xml:space="preserve">’s </w:t>
      </w:r>
      <w:r w:rsidRPr="00EB05A4" w:rsidR="009B147F">
        <w:rPr>
          <w:rFonts w:ascii="Arial" w:hAnsi="Arial" w:cs="Arial"/>
          <w:sz w:val="20"/>
          <w:szCs w:val="20"/>
        </w:rPr>
        <w:t>mate</w:t>
      </w:r>
      <w:r w:rsidRPr="00BD669B" w:rsidR="009B147F">
        <w:rPr>
          <w:rFonts w:ascii="Arial" w:hAnsi="Arial" w:cs="Arial"/>
          <w:sz w:val="20"/>
          <w:szCs w:val="20"/>
        </w:rPr>
        <w:t>rial</w:t>
      </w:r>
      <w:r w:rsidRPr="00BD669B" w:rsidR="00E974D0">
        <w:rPr>
          <w:rFonts w:ascii="Arial" w:hAnsi="Arial" w:cs="Arial"/>
          <w:sz w:val="20"/>
          <w:szCs w:val="20"/>
        </w:rPr>
        <w:t xml:space="preserve"> </w:t>
      </w:r>
      <w:r w:rsidRPr="00BD669B" w:rsidR="00CD0B21">
        <w:rPr>
          <w:rFonts w:ascii="Arial" w:hAnsi="Arial" w:cs="Arial"/>
          <w:sz w:val="20"/>
          <w:szCs w:val="20"/>
        </w:rPr>
        <w:t>fund</w:t>
      </w:r>
      <w:r w:rsidRPr="00BD669B" w:rsidR="00E974D0">
        <w:rPr>
          <w:rFonts w:ascii="Arial" w:hAnsi="Arial" w:cs="Arial"/>
          <w:sz w:val="20"/>
          <w:szCs w:val="20"/>
        </w:rPr>
        <w:t>s</w:t>
      </w:r>
      <w:r w:rsidRPr="00BD669B" w:rsidR="00EB2B9C">
        <w:rPr>
          <w:rFonts w:ascii="Arial" w:hAnsi="Arial" w:cs="Arial"/>
          <w:sz w:val="20"/>
          <w:szCs w:val="20"/>
        </w:rPr>
        <w:t xml:space="preserve"> with voting rights</w:t>
      </w:r>
      <w:r w:rsidRPr="00BD669B" w:rsidR="00CD0B21">
        <w:rPr>
          <w:rFonts w:ascii="Arial" w:hAnsi="Arial" w:cs="Arial"/>
          <w:sz w:val="20"/>
          <w:szCs w:val="20"/>
        </w:rPr>
        <w:t xml:space="preserve"> </w:t>
      </w:r>
      <w:r w:rsidRPr="00BD669B">
        <w:rPr>
          <w:rFonts w:ascii="Arial" w:hAnsi="Arial" w:cs="Arial"/>
          <w:sz w:val="20"/>
          <w:szCs w:val="20"/>
        </w:rPr>
        <w:t xml:space="preserve">for the </w:t>
      </w:r>
      <w:r w:rsidRPr="00BD669B" w:rsidR="004370B7">
        <w:rPr>
          <w:rFonts w:ascii="Arial" w:hAnsi="Arial" w:cs="Arial"/>
          <w:sz w:val="20"/>
          <w:szCs w:val="20"/>
        </w:rPr>
        <w:t>year</w:t>
      </w:r>
      <w:r w:rsidRPr="00BD669B">
        <w:rPr>
          <w:rFonts w:ascii="Arial" w:hAnsi="Arial" w:cs="Arial"/>
          <w:sz w:val="20"/>
          <w:szCs w:val="20"/>
        </w:rPr>
        <w:t xml:space="preserve"> to </w:t>
      </w:r>
      <w:bookmarkStart w:id="17" w:name="Bm_VotingEffective_Date_Arial10"/>
      <w:r w:rsidRPr="00BD669B" w:rsidR="002A4D03">
        <w:rPr>
          <w:rFonts w:ascii="Arial" w:hAnsi="Arial" w:cs="Arial"/>
          <w:sz w:val="20"/>
          <w:szCs w:val="20"/>
        </w:rPr>
        <w:t>31 December 2024</w:t>
      </w:r>
      <w:bookmarkEnd w:id="17"/>
      <w:r w:rsidRPr="00BD669B">
        <w:rPr>
          <w:rFonts w:ascii="Arial" w:hAnsi="Arial" w:cs="Arial"/>
          <w:sz w:val="20"/>
          <w:szCs w:val="20"/>
        </w:rPr>
        <w:t xml:space="preserve">. </w:t>
      </w:r>
      <w:bookmarkStart w:id="18" w:name="Bm_SYENotEqualQtrEnd_Arial10"/>
      <w:bookmarkEnd w:id="18"/>
    </w:p>
    <w:p w:rsidR="00223472" w:rsidP="00C609FB" w14:paraId="4D3E36C2" w14:textId="77777777">
      <w:pPr>
        <w:spacing w:after="0" w:line="252" w:lineRule="auto"/>
        <w:rPr>
          <w:rFonts w:ascii="Arial" w:hAnsi="Arial" w:cs="Arial"/>
          <w:sz w:val="20"/>
          <w:szCs w:val="20"/>
        </w:rPr>
      </w:pPr>
    </w:p>
    <w:tbl>
      <w:tblPr>
        <w:tblW w:w="1020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15"/>
        <w:gridCol w:w="1985"/>
        <w:gridCol w:w="1800"/>
        <w:gridCol w:w="1800"/>
        <w:gridCol w:w="1800"/>
      </w:tblGrid>
      <w:tr w14:paraId="0CF773B2" w14:textId="77777777" w:rsidTr="00B80858">
        <w:tblPrEx>
          <w:tblW w:w="10200" w:type="dxa"/>
          <w:tblInd w:w="20" w:type="dxa"/>
          <w:tblLayout w:type="fixed"/>
          <w:tblLook w:val="04A0"/>
        </w:tblPrEx>
        <w:trPr>
          <w:trHeight w:val="567"/>
        </w:trPr>
        <w:tc>
          <w:tcPr>
            <w:tcW w:w="2815" w:type="dxa"/>
            <w:tcBorders>
              <w:left w:val="nil"/>
              <w:right w:val="nil"/>
            </w:tcBorders>
            <w:vAlign w:val="center"/>
          </w:tcPr>
          <w:p w:rsidR="00D30C86" w:rsidRPr="00B80858" w:rsidP="00832D40" w14:paraId="66C77F13" w14:textId="77777777">
            <w:pPr>
              <w:spacing w:after="0" w:line="252" w:lineRule="auto"/>
              <w:rPr>
                <w:rFonts w:ascii="Arial" w:eastAsia="Arial" w:hAnsi="Arial" w:cs="Arial"/>
                <w:b/>
                <w:color w:val="000000"/>
                <w:sz w:val="16"/>
                <w:szCs w:val="36"/>
              </w:rPr>
            </w:pPr>
            <w:r w:rsidRPr="00B80858">
              <w:rPr>
                <w:rFonts w:ascii="Arial" w:eastAsia="Arial" w:hAnsi="Arial" w:cs="Arial"/>
                <w:b/>
                <w:color w:val="000000"/>
                <w:sz w:val="16"/>
                <w:szCs w:val="36"/>
              </w:rPr>
              <w:t>Funds</w:t>
            </w:r>
          </w:p>
        </w:tc>
        <w:tc>
          <w:tcPr>
            <w:tcW w:w="1985" w:type="dxa"/>
            <w:tcBorders>
              <w:left w:val="nil"/>
              <w:right w:val="nil"/>
            </w:tcBorders>
            <w:vAlign w:val="center"/>
          </w:tcPr>
          <w:p w:rsidR="00D30C86" w:rsidRPr="00B80858" w:rsidP="00B80858" w14:paraId="0E62EA80" w14:textId="77777777">
            <w:pPr>
              <w:spacing w:after="0" w:line="252" w:lineRule="auto"/>
              <w:ind w:left="-6" w:right="-106"/>
              <w:jc w:val="center"/>
              <w:rPr>
                <w:rFonts w:ascii="Arial" w:eastAsia="Arial" w:hAnsi="Arial" w:cs="Arial"/>
                <w:b/>
                <w:color w:val="000000"/>
                <w:sz w:val="16"/>
                <w:szCs w:val="36"/>
              </w:rPr>
            </w:pPr>
            <w:r w:rsidRPr="00B80858">
              <w:rPr>
                <w:rFonts w:ascii="Arial" w:eastAsia="Arial" w:hAnsi="Arial" w:cs="Arial"/>
                <w:b/>
                <w:color w:val="000000"/>
                <w:sz w:val="16"/>
                <w:szCs w:val="36"/>
              </w:rPr>
              <w:t>Number of resolutions</w:t>
            </w:r>
          </w:p>
          <w:p w:rsidR="00D30C86" w:rsidRPr="00B80858" w:rsidP="00B80858" w14:paraId="03CAE7E0" w14:textId="3802FC46">
            <w:pPr>
              <w:spacing w:after="0" w:line="252" w:lineRule="auto"/>
              <w:ind w:left="-6"/>
              <w:jc w:val="center"/>
              <w:rPr>
                <w:rFonts w:ascii="Arial" w:eastAsia="Arial" w:hAnsi="Arial" w:cs="Arial"/>
                <w:b/>
                <w:color w:val="000000"/>
                <w:sz w:val="16"/>
                <w:szCs w:val="36"/>
              </w:rPr>
            </w:pPr>
            <w:r w:rsidRPr="00B80858">
              <w:rPr>
                <w:rFonts w:ascii="Arial" w:eastAsia="Arial" w:hAnsi="Arial" w:cs="Arial"/>
                <w:b/>
                <w:color w:val="000000"/>
                <w:sz w:val="16"/>
                <w:szCs w:val="36"/>
              </w:rPr>
              <w:t>eligible to vote on</w:t>
            </w:r>
          </w:p>
        </w:tc>
        <w:tc>
          <w:tcPr>
            <w:tcW w:w="1800" w:type="dxa"/>
            <w:tcBorders>
              <w:left w:val="nil"/>
              <w:right w:val="nil"/>
            </w:tcBorders>
            <w:vAlign w:val="center"/>
          </w:tcPr>
          <w:p w:rsidR="00D30C86" w:rsidRPr="00B80858" w:rsidP="00B80858" w14:paraId="1A2E38C5" w14:textId="6594E211">
            <w:pPr>
              <w:spacing w:after="0" w:line="252" w:lineRule="auto"/>
              <w:jc w:val="center"/>
              <w:rPr>
                <w:rFonts w:ascii="Arial" w:eastAsia="Arial" w:hAnsi="Arial" w:cs="Arial"/>
                <w:b/>
                <w:color w:val="000000"/>
                <w:sz w:val="16"/>
                <w:szCs w:val="36"/>
              </w:rPr>
            </w:pPr>
            <w:r w:rsidRPr="00B80858">
              <w:rPr>
                <w:rFonts w:ascii="Arial" w:eastAsia="Arial" w:hAnsi="Arial" w:cs="Arial"/>
                <w:b/>
                <w:color w:val="000000"/>
                <w:sz w:val="16"/>
                <w:szCs w:val="36"/>
              </w:rPr>
              <w:t>% of resolutions voted</w:t>
            </w:r>
          </w:p>
        </w:tc>
        <w:tc>
          <w:tcPr>
            <w:tcW w:w="1800" w:type="dxa"/>
            <w:tcBorders>
              <w:left w:val="nil"/>
              <w:right w:val="nil"/>
            </w:tcBorders>
            <w:vAlign w:val="center"/>
          </w:tcPr>
          <w:p w:rsidR="00D30C86" w:rsidRPr="00B80858" w:rsidP="00B80858" w14:paraId="7A44A079" w14:textId="1BB1A1CF">
            <w:pPr>
              <w:spacing w:after="0" w:line="252" w:lineRule="auto"/>
              <w:jc w:val="center"/>
              <w:rPr>
                <w:rFonts w:ascii="Arial" w:eastAsia="Arial" w:hAnsi="Arial" w:cs="Arial"/>
                <w:b/>
                <w:color w:val="000000"/>
                <w:sz w:val="16"/>
                <w:szCs w:val="36"/>
              </w:rPr>
            </w:pPr>
            <w:r w:rsidRPr="00B80858">
              <w:rPr>
                <w:rFonts w:ascii="Arial" w:eastAsia="Arial" w:hAnsi="Arial" w:cs="Arial"/>
                <w:b/>
                <w:color w:val="000000"/>
                <w:sz w:val="16"/>
                <w:szCs w:val="36"/>
              </w:rPr>
              <w:t>% of votes against</w:t>
            </w:r>
          </w:p>
          <w:p w:rsidR="00D30C86" w:rsidRPr="00B80858" w:rsidP="00B80858" w14:paraId="35CD4A07" w14:textId="089950CD">
            <w:pPr>
              <w:spacing w:after="0" w:line="252" w:lineRule="auto"/>
              <w:jc w:val="center"/>
              <w:rPr>
                <w:rFonts w:ascii="Arial" w:eastAsia="Arial" w:hAnsi="Arial" w:cs="Arial"/>
                <w:b/>
                <w:color w:val="000000"/>
                <w:sz w:val="16"/>
                <w:szCs w:val="36"/>
              </w:rPr>
            </w:pPr>
            <w:r w:rsidRPr="00B80858">
              <w:rPr>
                <w:rFonts w:ascii="Arial" w:eastAsia="Arial" w:hAnsi="Arial" w:cs="Arial"/>
                <w:b/>
                <w:color w:val="000000"/>
                <w:sz w:val="16"/>
                <w:szCs w:val="36"/>
              </w:rPr>
              <w:t>management</w:t>
            </w:r>
          </w:p>
        </w:tc>
        <w:tc>
          <w:tcPr>
            <w:tcW w:w="1800" w:type="dxa"/>
            <w:tcBorders>
              <w:left w:val="nil"/>
              <w:right w:val="nil"/>
            </w:tcBorders>
            <w:vAlign w:val="center"/>
          </w:tcPr>
          <w:p w:rsidR="00D30C86" w:rsidRPr="00B80858" w:rsidP="00B80858" w14:paraId="024E3297" w14:textId="6850A4F3">
            <w:pPr>
              <w:spacing w:after="0" w:line="252" w:lineRule="auto"/>
              <w:jc w:val="center"/>
              <w:rPr>
                <w:rFonts w:ascii="Arial" w:eastAsia="Arial" w:hAnsi="Arial" w:cs="Arial"/>
                <w:b/>
                <w:color w:val="000000"/>
                <w:sz w:val="16"/>
                <w:szCs w:val="36"/>
              </w:rPr>
            </w:pPr>
            <w:r w:rsidRPr="00B80858">
              <w:rPr>
                <w:rFonts w:ascii="Arial" w:eastAsia="Arial" w:hAnsi="Arial" w:cs="Arial"/>
                <w:b/>
                <w:color w:val="000000"/>
                <w:sz w:val="16"/>
                <w:szCs w:val="36"/>
              </w:rPr>
              <w:t>% of votes abstained</w:t>
            </w:r>
            <w:r w:rsidR="00016DB4">
              <w:rPr>
                <w:rFonts w:ascii="Arial" w:eastAsia="Arial" w:hAnsi="Arial" w:cs="Arial"/>
                <w:b/>
                <w:color w:val="000000"/>
                <w:sz w:val="16"/>
                <w:szCs w:val="36"/>
              </w:rPr>
              <w:t xml:space="preserve"> </w:t>
            </w:r>
            <w:r w:rsidRPr="00B80858">
              <w:rPr>
                <w:rFonts w:ascii="Arial" w:eastAsia="Arial" w:hAnsi="Arial" w:cs="Arial"/>
                <w:b/>
                <w:color w:val="000000"/>
                <w:sz w:val="16"/>
                <w:szCs w:val="36"/>
              </w:rPr>
              <w:t>from</w:t>
            </w:r>
          </w:p>
        </w:tc>
      </w:tr>
      <w:tr w14:paraId="3F20D136" w14:textId="77777777" w:rsidTr="00B80858">
        <w:tblPrEx>
          <w:tblW w:w="10200" w:type="dxa"/>
          <w:tblInd w:w="20" w:type="dxa"/>
          <w:tblLayout w:type="fixed"/>
          <w:tblLook w:val="04A0"/>
        </w:tblPrEx>
        <w:trPr>
          <w:trHeight w:val="200"/>
        </w:trPr>
        <w:tc>
          <w:tcPr>
            <w:tcW w:w="2815" w:type="dxa"/>
            <w:tcBorders>
              <w:left w:val="nil"/>
              <w:right w:val="nil"/>
            </w:tcBorders>
            <w:shd w:val="clear" w:color="auto" w:fill="FFFFFF"/>
            <w:vAlign w:val="center"/>
          </w:tcPr>
          <w:p w:rsidR="00185754" w:rsidRPr="00B80858" w:rsidP="00185754" w14:paraId="0C1E26EC" w14:textId="4F9CD861">
            <w:pPr>
              <w:spacing w:after="0" w:line="252" w:lineRule="auto"/>
              <w:rPr>
                <w:rFonts w:ascii="Arial" w:eastAsia="Arial" w:hAnsi="Arial" w:cs="Arial"/>
                <w:color w:val="000000"/>
                <w:sz w:val="16"/>
                <w:szCs w:val="36"/>
              </w:rPr>
            </w:pPr>
            <w:r w:rsidRPr="00B80858">
              <w:rPr>
                <w:rFonts w:ascii="Arial" w:eastAsia="Arial" w:hAnsi="Arial" w:cs="Arial"/>
                <w:color w:val="000000"/>
                <w:sz w:val="16"/>
                <w:szCs w:val="36"/>
              </w:rPr>
              <w:t>Legal and General Investment Management (“LGIM”) - Multi-Factor Equity Fund</w:t>
            </w:r>
          </w:p>
        </w:tc>
        <w:tc>
          <w:tcPr>
            <w:tcW w:w="1985" w:type="dxa"/>
            <w:tcBorders>
              <w:left w:val="nil"/>
              <w:right w:val="nil"/>
            </w:tcBorders>
            <w:shd w:val="clear" w:color="auto" w:fill="FFFFFF"/>
            <w:vAlign w:val="center"/>
          </w:tcPr>
          <w:p w:rsidR="00185754" w:rsidRPr="00B80858" w:rsidP="00B80858" w14:paraId="7BC7D921" w14:textId="77777777">
            <w:pPr>
              <w:spacing w:after="0" w:line="252" w:lineRule="auto"/>
              <w:jc w:val="center"/>
              <w:rPr>
                <w:rFonts w:ascii="Arial" w:eastAsia="Arial" w:hAnsi="Arial" w:cs="Arial"/>
                <w:color w:val="000000"/>
                <w:sz w:val="16"/>
                <w:szCs w:val="36"/>
              </w:rPr>
            </w:pPr>
            <w:r w:rsidRPr="00B80858">
              <w:rPr>
                <w:rFonts w:ascii="Arial" w:eastAsia="Arial" w:hAnsi="Arial" w:cs="Arial"/>
                <w:color w:val="000000"/>
                <w:sz w:val="16"/>
                <w:szCs w:val="36"/>
              </w:rPr>
              <w:t>11,565</w:t>
            </w:r>
          </w:p>
        </w:tc>
        <w:tc>
          <w:tcPr>
            <w:tcW w:w="1800" w:type="dxa"/>
            <w:tcBorders>
              <w:left w:val="nil"/>
              <w:right w:val="nil"/>
            </w:tcBorders>
            <w:shd w:val="clear" w:color="auto" w:fill="FFFFFF"/>
            <w:vAlign w:val="center"/>
          </w:tcPr>
          <w:p w:rsidR="00185754" w:rsidRPr="00B80858" w:rsidP="00B80858" w14:paraId="3CE1BAC8" w14:textId="77777777">
            <w:pPr>
              <w:spacing w:after="0" w:line="252" w:lineRule="auto"/>
              <w:jc w:val="center"/>
              <w:rPr>
                <w:rFonts w:ascii="Arial" w:eastAsia="Arial" w:hAnsi="Arial" w:cs="Arial"/>
                <w:color w:val="000000"/>
                <w:sz w:val="16"/>
                <w:szCs w:val="36"/>
              </w:rPr>
            </w:pPr>
            <w:r w:rsidRPr="00B80858">
              <w:rPr>
                <w:rFonts w:ascii="Arial" w:eastAsia="Arial" w:hAnsi="Arial" w:cs="Arial"/>
                <w:color w:val="000000"/>
                <w:sz w:val="16"/>
                <w:szCs w:val="36"/>
              </w:rPr>
              <w:t>99.6%</w:t>
            </w:r>
          </w:p>
        </w:tc>
        <w:tc>
          <w:tcPr>
            <w:tcW w:w="1800" w:type="dxa"/>
            <w:tcBorders>
              <w:left w:val="nil"/>
              <w:right w:val="nil"/>
            </w:tcBorders>
            <w:shd w:val="clear" w:color="auto" w:fill="FFFFFF"/>
            <w:vAlign w:val="center"/>
          </w:tcPr>
          <w:p w:rsidR="00185754" w:rsidRPr="00B80858" w:rsidP="00B80858" w14:paraId="3AC75DE7" w14:textId="77777777">
            <w:pPr>
              <w:spacing w:after="0" w:line="252" w:lineRule="auto"/>
              <w:jc w:val="center"/>
              <w:rPr>
                <w:rFonts w:ascii="Arial" w:eastAsia="Arial" w:hAnsi="Arial" w:cs="Arial"/>
                <w:color w:val="000000"/>
                <w:sz w:val="16"/>
                <w:szCs w:val="36"/>
              </w:rPr>
            </w:pPr>
            <w:r w:rsidRPr="00B80858">
              <w:rPr>
                <w:rFonts w:ascii="Arial" w:eastAsia="Arial" w:hAnsi="Arial" w:cs="Arial"/>
                <w:color w:val="000000"/>
                <w:sz w:val="16"/>
                <w:szCs w:val="36"/>
              </w:rPr>
              <w:t>20.8%</w:t>
            </w:r>
          </w:p>
        </w:tc>
        <w:tc>
          <w:tcPr>
            <w:tcW w:w="1800" w:type="dxa"/>
            <w:tcBorders>
              <w:left w:val="nil"/>
              <w:right w:val="nil"/>
            </w:tcBorders>
            <w:shd w:val="clear" w:color="auto" w:fill="FFFFFF"/>
            <w:vAlign w:val="center"/>
          </w:tcPr>
          <w:p w:rsidR="00185754" w:rsidRPr="00B80858" w:rsidP="00B80858" w14:paraId="0D6A3931" w14:textId="77777777">
            <w:pPr>
              <w:spacing w:after="0" w:line="252" w:lineRule="auto"/>
              <w:jc w:val="center"/>
              <w:rPr>
                <w:rFonts w:ascii="Arial" w:eastAsia="Arial" w:hAnsi="Arial" w:cs="Arial"/>
                <w:color w:val="000000"/>
                <w:sz w:val="16"/>
                <w:szCs w:val="36"/>
              </w:rPr>
            </w:pPr>
            <w:r w:rsidRPr="00B80858">
              <w:rPr>
                <w:rFonts w:ascii="Arial" w:eastAsia="Arial" w:hAnsi="Arial" w:cs="Arial"/>
                <w:color w:val="000000"/>
                <w:sz w:val="16"/>
                <w:szCs w:val="36"/>
              </w:rPr>
              <w:t>0.4%</w:t>
            </w:r>
          </w:p>
        </w:tc>
      </w:tr>
      <w:tr w14:paraId="13742217" w14:textId="77777777" w:rsidTr="00B80858">
        <w:tblPrEx>
          <w:tblW w:w="10200" w:type="dxa"/>
          <w:tblInd w:w="20" w:type="dxa"/>
          <w:tblLayout w:type="fixed"/>
          <w:tblLook w:val="04A0"/>
        </w:tblPrEx>
        <w:trPr>
          <w:trHeight w:val="200"/>
        </w:trPr>
        <w:tc>
          <w:tcPr>
            <w:tcW w:w="2815" w:type="dxa"/>
            <w:tcBorders>
              <w:left w:val="nil"/>
              <w:right w:val="nil"/>
            </w:tcBorders>
            <w:shd w:val="clear" w:color="auto" w:fill="FFFFFF"/>
            <w:vAlign w:val="center"/>
          </w:tcPr>
          <w:p w:rsidR="00185754" w:rsidRPr="00B80858" w:rsidP="00185754" w14:paraId="6906D83C" w14:textId="4F25CFEA">
            <w:pPr>
              <w:spacing w:after="0" w:line="252" w:lineRule="auto"/>
              <w:rPr>
                <w:rFonts w:ascii="Arial" w:eastAsia="Arial" w:hAnsi="Arial" w:cs="Arial"/>
                <w:color w:val="000000"/>
                <w:sz w:val="16"/>
                <w:szCs w:val="36"/>
              </w:rPr>
            </w:pPr>
            <w:r w:rsidRPr="00B80858">
              <w:rPr>
                <w:rFonts w:ascii="Arial" w:eastAsia="Arial" w:hAnsi="Arial" w:cs="Arial"/>
                <w:color w:val="000000"/>
                <w:sz w:val="16"/>
                <w:szCs w:val="36"/>
              </w:rPr>
              <w:t>UBS Global Asset Management (“UBS”) - Global Equity Climate Transition Fund</w:t>
            </w:r>
          </w:p>
        </w:tc>
        <w:tc>
          <w:tcPr>
            <w:tcW w:w="1985" w:type="dxa"/>
            <w:tcBorders>
              <w:left w:val="nil"/>
              <w:right w:val="nil"/>
            </w:tcBorders>
            <w:shd w:val="clear" w:color="auto" w:fill="FFFFFF"/>
            <w:vAlign w:val="center"/>
          </w:tcPr>
          <w:p w:rsidR="00185754" w:rsidRPr="00B80858" w:rsidP="00B80858" w14:paraId="46A26AE9" w14:textId="77777777">
            <w:pPr>
              <w:spacing w:after="0" w:line="252" w:lineRule="auto"/>
              <w:jc w:val="center"/>
              <w:rPr>
                <w:rFonts w:ascii="Arial" w:eastAsia="Arial" w:hAnsi="Arial" w:cs="Arial"/>
                <w:color w:val="000000"/>
                <w:sz w:val="16"/>
                <w:szCs w:val="36"/>
              </w:rPr>
            </w:pPr>
            <w:r w:rsidRPr="00B80858">
              <w:rPr>
                <w:rFonts w:ascii="Arial" w:eastAsia="Arial" w:hAnsi="Arial" w:cs="Arial"/>
                <w:color w:val="000000"/>
                <w:sz w:val="16"/>
                <w:szCs w:val="36"/>
              </w:rPr>
              <w:t>12,145</w:t>
            </w:r>
          </w:p>
        </w:tc>
        <w:tc>
          <w:tcPr>
            <w:tcW w:w="1800" w:type="dxa"/>
            <w:tcBorders>
              <w:left w:val="nil"/>
              <w:right w:val="nil"/>
            </w:tcBorders>
            <w:shd w:val="clear" w:color="auto" w:fill="FFFFFF"/>
            <w:vAlign w:val="center"/>
          </w:tcPr>
          <w:p w:rsidR="00185754" w:rsidRPr="00B80858" w:rsidP="00B80858" w14:paraId="5FEC42CF" w14:textId="77777777">
            <w:pPr>
              <w:spacing w:after="0" w:line="252" w:lineRule="auto"/>
              <w:jc w:val="center"/>
              <w:rPr>
                <w:rFonts w:ascii="Arial" w:eastAsia="Arial" w:hAnsi="Arial" w:cs="Arial"/>
                <w:color w:val="000000"/>
                <w:sz w:val="16"/>
                <w:szCs w:val="36"/>
              </w:rPr>
            </w:pPr>
            <w:r w:rsidRPr="00B80858">
              <w:rPr>
                <w:rFonts w:ascii="Arial" w:eastAsia="Arial" w:hAnsi="Arial" w:cs="Arial"/>
                <w:color w:val="000000"/>
                <w:sz w:val="16"/>
                <w:szCs w:val="36"/>
              </w:rPr>
              <w:t>93.0%</w:t>
            </w:r>
          </w:p>
        </w:tc>
        <w:tc>
          <w:tcPr>
            <w:tcW w:w="1800" w:type="dxa"/>
            <w:tcBorders>
              <w:left w:val="nil"/>
              <w:right w:val="nil"/>
            </w:tcBorders>
            <w:shd w:val="clear" w:color="auto" w:fill="FFFFFF"/>
            <w:vAlign w:val="center"/>
          </w:tcPr>
          <w:p w:rsidR="00185754" w:rsidRPr="00B80858" w:rsidP="00B80858" w14:paraId="05CBFB0F" w14:textId="77777777">
            <w:pPr>
              <w:spacing w:after="0" w:line="252" w:lineRule="auto"/>
              <w:jc w:val="center"/>
              <w:rPr>
                <w:rFonts w:ascii="Arial" w:eastAsia="Arial" w:hAnsi="Arial" w:cs="Arial"/>
                <w:color w:val="000000"/>
                <w:sz w:val="16"/>
                <w:szCs w:val="36"/>
              </w:rPr>
            </w:pPr>
            <w:r w:rsidRPr="00B80858">
              <w:rPr>
                <w:rFonts w:ascii="Arial" w:eastAsia="Arial" w:hAnsi="Arial" w:cs="Arial"/>
                <w:color w:val="000000"/>
                <w:sz w:val="16"/>
                <w:szCs w:val="36"/>
              </w:rPr>
              <w:t>8.0%</w:t>
            </w:r>
          </w:p>
        </w:tc>
        <w:tc>
          <w:tcPr>
            <w:tcW w:w="1800" w:type="dxa"/>
            <w:tcBorders>
              <w:left w:val="nil"/>
              <w:right w:val="nil"/>
            </w:tcBorders>
            <w:shd w:val="clear" w:color="auto" w:fill="FFFFFF"/>
            <w:vAlign w:val="center"/>
          </w:tcPr>
          <w:p w:rsidR="00185754" w:rsidRPr="00B80858" w:rsidP="00B80858" w14:paraId="7D6B2B96" w14:textId="77777777">
            <w:pPr>
              <w:spacing w:after="0" w:line="252" w:lineRule="auto"/>
              <w:jc w:val="center"/>
              <w:rPr>
                <w:rFonts w:ascii="Arial" w:eastAsia="Arial" w:hAnsi="Arial" w:cs="Arial"/>
                <w:color w:val="000000"/>
                <w:sz w:val="16"/>
                <w:szCs w:val="36"/>
              </w:rPr>
            </w:pPr>
            <w:r w:rsidRPr="00B80858">
              <w:rPr>
                <w:rFonts w:ascii="Arial" w:eastAsia="Arial" w:hAnsi="Arial" w:cs="Arial"/>
                <w:color w:val="000000"/>
                <w:sz w:val="16"/>
                <w:szCs w:val="36"/>
              </w:rPr>
              <w:t>0.1%</w:t>
            </w:r>
          </w:p>
        </w:tc>
      </w:tr>
    </w:tbl>
    <w:p w:rsidR="00DB5EB8" w:rsidRPr="00985D80" w:rsidP="00B80858" w14:paraId="694C84ED" w14:textId="1E1107E9">
      <w:pPr>
        <w:spacing w:after="0" w:line="252" w:lineRule="auto"/>
        <w:ind w:right="-3137"/>
        <w:rPr>
          <w:rFonts w:ascii="Arial" w:hAnsi="Arial" w:cs="Arial"/>
          <w:sz w:val="20"/>
          <w:szCs w:val="20"/>
        </w:rPr>
      </w:pPr>
      <w:bookmarkStart w:id="19" w:name="_Hlk107913533"/>
      <w:r w:rsidRPr="000454CE">
        <w:rPr>
          <w:rFonts w:ascii="Arial" w:eastAsia="Arial" w:hAnsi="Arial" w:cs="Arial"/>
          <w:i/>
          <w:iCs/>
          <w:sz w:val="16"/>
          <w:szCs w:val="16"/>
        </w:rPr>
        <w:t xml:space="preserve">Source: </w:t>
      </w:r>
      <w:r w:rsidR="000F2022">
        <w:rPr>
          <w:rFonts w:ascii="Arial" w:eastAsia="Arial" w:hAnsi="Arial" w:cs="Arial"/>
          <w:i/>
          <w:iCs/>
          <w:sz w:val="16"/>
          <w:szCs w:val="16"/>
        </w:rPr>
        <w:t>Investment m</w:t>
      </w:r>
      <w:r w:rsidRPr="00D6116C">
        <w:rPr>
          <w:rFonts w:ascii="Arial" w:eastAsia="Arial" w:hAnsi="Arial" w:cs="Arial"/>
          <w:i/>
          <w:iCs/>
          <w:sz w:val="16"/>
          <w:szCs w:val="16"/>
        </w:rPr>
        <w:t>anager</w:t>
      </w:r>
      <w:r w:rsidRPr="00D6116C" w:rsidR="009C0F83">
        <w:rPr>
          <w:rFonts w:ascii="Arial" w:eastAsia="Arial" w:hAnsi="Arial" w:cs="Arial"/>
          <w:i/>
          <w:iCs/>
          <w:sz w:val="16"/>
          <w:szCs w:val="16"/>
        </w:rPr>
        <w:t>s</w:t>
      </w:r>
      <w:r w:rsidR="001428F6">
        <w:rPr>
          <w:rFonts w:ascii="Arial" w:eastAsia="Arial" w:hAnsi="Arial" w:cs="Arial"/>
          <w:i/>
          <w:iCs/>
          <w:sz w:val="16"/>
          <w:szCs w:val="16"/>
        </w:rPr>
        <w:t xml:space="preserve">. </w:t>
      </w:r>
      <w:r w:rsidRPr="00DB5EB8" w:rsidR="00185754">
        <w:rPr>
          <w:rFonts w:ascii="Arial" w:eastAsia="Arial" w:hAnsi="Arial" w:cs="Arial"/>
          <w:i/>
          <w:iCs/>
          <w:sz w:val="16"/>
          <w:szCs w:val="16"/>
          <w:lang w:val="en-IN"/>
        </w:rPr>
        <w:t>Please note that the 'abstain' votes noted above are a specific category of vote that has been cast</w:t>
      </w:r>
      <w:r w:rsidR="002466C5">
        <w:rPr>
          <w:rFonts w:ascii="Arial" w:eastAsia="Arial" w:hAnsi="Arial" w:cs="Arial"/>
          <w:i/>
          <w:iCs/>
          <w:sz w:val="16"/>
          <w:szCs w:val="16"/>
          <w:lang w:val="en-IN"/>
        </w:rPr>
        <w:t xml:space="preserve"> </w:t>
      </w:r>
      <w:r w:rsidR="00185754">
        <w:rPr>
          <w:rFonts w:ascii="Arial" w:eastAsia="Arial" w:hAnsi="Arial" w:cs="Arial"/>
          <w:i/>
          <w:iCs/>
          <w:sz w:val="16"/>
          <w:szCs w:val="16"/>
          <w:lang w:val="en-IN"/>
        </w:rPr>
        <w:t>a</w:t>
      </w:r>
      <w:r w:rsidRPr="00DB5EB8" w:rsidR="00185754">
        <w:rPr>
          <w:rFonts w:ascii="Arial" w:eastAsia="Arial" w:hAnsi="Arial" w:cs="Arial"/>
          <w:i/>
          <w:iCs/>
          <w:sz w:val="16"/>
          <w:szCs w:val="16"/>
          <w:lang w:val="en-IN"/>
        </w:rPr>
        <w:t>nd are distinct from a non-vote.</w:t>
      </w:r>
    </w:p>
    <w:p w:rsidR="00DB5EB8" w:rsidP="00874132" w14:paraId="37945742" w14:textId="77777777">
      <w:pPr>
        <w:spacing w:after="0" w:line="252" w:lineRule="auto"/>
        <w:rPr>
          <w:rFonts w:ascii="Arial" w:eastAsia="Arial" w:hAnsi="Arial" w:cs="Arial"/>
          <w:i/>
          <w:iCs/>
          <w:sz w:val="16"/>
          <w:szCs w:val="16"/>
        </w:rPr>
        <w:sectPr w:rsidSect="00223472">
          <w:pgSz w:w="11906" w:h="16838"/>
          <w:pgMar w:top="1440" w:right="3986" w:bottom="1440" w:left="851" w:header="708" w:footer="708" w:gutter="0"/>
          <w:cols w:space="708"/>
          <w:docGrid w:linePitch="360"/>
        </w:sectPr>
      </w:pPr>
    </w:p>
    <w:bookmarkEnd w:id="19"/>
    <w:p w:rsidR="004B521E" w:rsidP="00874132" w14:paraId="50E44CAD" w14:textId="77777777">
      <w:pPr>
        <w:spacing w:after="0" w:line="252" w:lineRule="auto"/>
        <w:jc w:val="both"/>
        <w:rPr>
          <w:rFonts w:ascii="Arial" w:hAnsi="Arial" w:cs="Arial"/>
          <w:sz w:val="20"/>
          <w:szCs w:val="20"/>
        </w:rPr>
      </w:pPr>
    </w:p>
    <w:p w:rsidR="00A94DE0" w:rsidRPr="00B80858" w:rsidP="00B80858" w14:paraId="615E708C" w14:textId="77777777">
      <w:pPr>
        <w:spacing w:after="120" w:line="252" w:lineRule="auto"/>
        <w:ind w:right="-3260"/>
        <w:jc w:val="both"/>
        <w:rPr>
          <w:rFonts w:ascii="Arial" w:hAnsi="Arial" w:cs="Arial"/>
          <w:b/>
          <w:bCs/>
          <w:sz w:val="20"/>
          <w:szCs w:val="20"/>
        </w:rPr>
      </w:pPr>
      <w:r w:rsidRPr="00B80858">
        <w:rPr>
          <w:rFonts w:ascii="Arial" w:hAnsi="Arial" w:cs="Arial"/>
          <w:b/>
          <w:bCs/>
          <w:noProof/>
          <w:sz w:val="20"/>
          <w:szCs w:val="20"/>
        </w:rPr>
        <mc:AlternateContent>
          <mc:Choice Requires="wps">
            <w:drawing>
              <wp:anchor distT="0" distB="0" distL="114300" distR="114300" simplePos="0" relativeHeight="251664384" behindDoc="0" locked="0" layoutInCell="1" allowOverlap="1">
                <wp:simplePos x="0" y="0"/>
                <wp:positionH relativeFrom="column">
                  <wp:posOffset>4733290</wp:posOffset>
                </wp:positionH>
                <wp:positionV relativeFrom="paragraph">
                  <wp:posOffset>168275</wp:posOffset>
                </wp:positionV>
                <wp:extent cx="1799590" cy="1769745"/>
                <wp:effectExtent l="0" t="0" r="0" b="1905"/>
                <wp:wrapSquare wrapText="bothSides"/>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799590" cy="1769745"/>
                        </a:xfrm>
                        <a:prstGeom prst="rect">
                          <a:avLst/>
                        </a:prstGeom>
                        <a:solidFill>
                          <a:srgbClr val="DAEBF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359C7" w:rsidRPr="00C67E9C" w:rsidP="002359C7" w14:textId="77777777">
                            <w:pPr>
                              <w:rPr>
                                <w:rFonts w:ascii="Arial" w:hAnsi="Arial" w:cs="Arial"/>
                                <w:color w:val="0083A9"/>
                                <w:sz w:val="24"/>
                                <w:szCs w:val="24"/>
                              </w:rPr>
                            </w:pPr>
                            <w:r w:rsidRPr="00C67E9C">
                              <w:rPr>
                                <w:rFonts w:ascii="Arial" w:hAnsi="Arial" w:cs="Arial"/>
                                <w:color w:val="0083A9"/>
                                <w:sz w:val="24"/>
                                <w:szCs w:val="24"/>
                              </w:rPr>
                              <w:t>Wh</w:t>
                            </w:r>
                            <w:r>
                              <w:rPr>
                                <w:rFonts w:ascii="Arial" w:hAnsi="Arial" w:cs="Arial"/>
                                <w:color w:val="0083A9"/>
                                <w:sz w:val="24"/>
                                <w:szCs w:val="24"/>
                              </w:rPr>
                              <w:t>y</w:t>
                            </w:r>
                            <w:r w:rsidRPr="00C67E9C">
                              <w:rPr>
                                <w:rFonts w:ascii="Arial" w:hAnsi="Arial" w:cs="Arial"/>
                                <w:color w:val="0083A9"/>
                                <w:sz w:val="24"/>
                                <w:szCs w:val="24"/>
                              </w:rPr>
                              <w:t xml:space="preserve"> </w:t>
                            </w:r>
                            <w:r>
                              <w:rPr>
                                <w:rFonts w:ascii="Arial" w:hAnsi="Arial" w:cs="Arial"/>
                                <w:color w:val="0083A9"/>
                                <w:sz w:val="24"/>
                                <w:szCs w:val="24"/>
                              </w:rPr>
                              <w:t>use a proxy</w:t>
                            </w:r>
                            <w:r w:rsidRPr="00C67E9C">
                              <w:rPr>
                                <w:rFonts w:ascii="Arial" w:hAnsi="Arial" w:cs="Arial"/>
                                <w:color w:val="0083A9"/>
                                <w:sz w:val="24"/>
                                <w:szCs w:val="24"/>
                              </w:rPr>
                              <w:t xml:space="preserve"> </w:t>
                            </w:r>
                            <w:r>
                              <w:rPr>
                                <w:rFonts w:ascii="Arial" w:hAnsi="Arial" w:cs="Arial"/>
                                <w:color w:val="0083A9"/>
                                <w:sz w:val="24"/>
                                <w:szCs w:val="24"/>
                              </w:rPr>
                              <w:t>voting adviser</w:t>
                            </w:r>
                            <w:r w:rsidRPr="00C67E9C">
                              <w:rPr>
                                <w:rFonts w:ascii="Arial" w:hAnsi="Arial" w:cs="Arial"/>
                                <w:color w:val="0083A9"/>
                                <w:sz w:val="24"/>
                                <w:szCs w:val="24"/>
                              </w:rPr>
                              <w:t>?</w:t>
                            </w:r>
                          </w:p>
                          <w:p w:rsidR="002359C7" w:rsidRPr="00D71C61" w:rsidP="00A45B50" w14:textId="77777777">
                            <w:pPr>
                              <w:pStyle w:val="NormalWeb"/>
                              <w:spacing w:before="0" w:beforeAutospacing="0" w:after="60" w:afterAutospacing="0" w:line="259" w:lineRule="auto"/>
                              <w:rPr>
                                <w:rFonts w:ascii="Arial" w:hAnsi="Arial" w:cs="Arial"/>
                                <w:i/>
                                <w:iCs/>
                                <w:color w:val="7F7F7F" w:themeColor="text1" w:themeTint="80"/>
                                <w:sz w:val="18"/>
                                <w:szCs w:val="18"/>
                              </w:rPr>
                            </w:pPr>
                            <w:r w:rsidRPr="002359C7">
                              <w:rPr>
                                <w:rFonts w:ascii="Arial" w:hAnsi="Arial" w:cs="Arial"/>
                                <w:color w:val="7F7F7F" w:themeColor="text1" w:themeTint="80"/>
                                <w:sz w:val="20"/>
                                <w:szCs w:val="20"/>
                              </w:rPr>
                              <w:t xml:space="preserve">Outsourcing voting activities to proxy advisers enables managers that invest in thousands of companies to participate in many more votes than they would without their support.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8" style="width:141.7pt;height:139.35pt;margin-top:13.25pt;margin-left:372.7pt;mso-height-percent:0;mso-height-relative:margin;mso-width-percent:0;mso-width-relative:margin;mso-wrap-distance-bottom:0;mso-wrap-distance-left:9pt;mso-wrap-distance-right:9pt;mso-wrap-distance-top:0;mso-wrap-style:square;position:absolute;visibility:visible;v-text-anchor:top;z-index:251665408" fillcolor="#daebf1" stroked="f" strokeweight="1pt">
                <v:textbox>
                  <w:txbxContent>
                    <w:p w:rsidR="002359C7" w:rsidRPr="00C67E9C" w:rsidP="002359C7" w14:paraId="746DF958" w14:textId="77777777">
                      <w:pPr>
                        <w:rPr>
                          <w:rFonts w:ascii="Arial" w:hAnsi="Arial" w:cs="Arial"/>
                          <w:color w:val="0083A9"/>
                          <w:sz w:val="24"/>
                          <w:szCs w:val="24"/>
                        </w:rPr>
                      </w:pPr>
                      <w:r w:rsidRPr="00C67E9C">
                        <w:rPr>
                          <w:rFonts w:ascii="Arial" w:hAnsi="Arial" w:cs="Arial"/>
                          <w:color w:val="0083A9"/>
                          <w:sz w:val="24"/>
                          <w:szCs w:val="24"/>
                        </w:rPr>
                        <w:t>Wh</w:t>
                      </w:r>
                      <w:r>
                        <w:rPr>
                          <w:rFonts w:ascii="Arial" w:hAnsi="Arial" w:cs="Arial"/>
                          <w:color w:val="0083A9"/>
                          <w:sz w:val="24"/>
                          <w:szCs w:val="24"/>
                        </w:rPr>
                        <w:t>y</w:t>
                      </w:r>
                      <w:r w:rsidRPr="00C67E9C">
                        <w:rPr>
                          <w:rFonts w:ascii="Arial" w:hAnsi="Arial" w:cs="Arial"/>
                          <w:color w:val="0083A9"/>
                          <w:sz w:val="24"/>
                          <w:szCs w:val="24"/>
                        </w:rPr>
                        <w:t xml:space="preserve"> </w:t>
                      </w:r>
                      <w:r>
                        <w:rPr>
                          <w:rFonts w:ascii="Arial" w:hAnsi="Arial" w:cs="Arial"/>
                          <w:color w:val="0083A9"/>
                          <w:sz w:val="24"/>
                          <w:szCs w:val="24"/>
                        </w:rPr>
                        <w:t>use a proxy</w:t>
                      </w:r>
                      <w:r w:rsidRPr="00C67E9C">
                        <w:rPr>
                          <w:rFonts w:ascii="Arial" w:hAnsi="Arial" w:cs="Arial"/>
                          <w:color w:val="0083A9"/>
                          <w:sz w:val="24"/>
                          <w:szCs w:val="24"/>
                        </w:rPr>
                        <w:t xml:space="preserve"> </w:t>
                      </w:r>
                      <w:r>
                        <w:rPr>
                          <w:rFonts w:ascii="Arial" w:hAnsi="Arial" w:cs="Arial"/>
                          <w:color w:val="0083A9"/>
                          <w:sz w:val="24"/>
                          <w:szCs w:val="24"/>
                        </w:rPr>
                        <w:t>voting adviser</w:t>
                      </w:r>
                      <w:r w:rsidRPr="00C67E9C">
                        <w:rPr>
                          <w:rFonts w:ascii="Arial" w:hAnsi="Arial" w:cs="Arial"/>
                          <w:color w:val="0083A9"/>
                          <w:sz w:val="24"/>
                          <w:szCs w:val="24"/>
                        </w:rPr>
                        <w:t>?</w:t>
                      </w:r>
                    </w:p>
                    <w:p w:rsidR="002359C7" w:rsidRPr="00D71C61" w:rsidP="00A45B50" w14:paraId="3A038F71" w14:textId="77777777">
                      <w:pPr>
                        <w:pStyle w:val="NormalWeb"/>
                        <w:spacing w:before="0" w:beforeAutospacing="0" w:after="60" w:afterAutospacing="0" w:line="259" w:lineRule="auto"/>
                        <w:rPr>
                          <w:rFonts w:ascii="Arial" w:hAnsi="Arial" w:cs="Arial"/>
                          <w:i/>
                          <w:iCs/>
                          <w:color w:val="7F7F7F" w:themeColor="text1" w:themeTint="80"/>
                          <w:sz w:val="18"/>
                          <w:szCs w:val="18"/>
                        </w:rPr>
                      </w:pPr>
                      <w:r w:rsidRPr="002359C7">
                        <w:rPr>
                          <w:rFonts w:ascii="Arial" w:hAnsi="Arial" w:cs="Arial"/>
                          <w:color w:val="7F7F7F" w:themeColor="text1" w:themeTint="80"/>
                          <w:sz w:val="20"/>
                          <w:szCs w:val="20"/>
                        </w:rPr>
                        <w:t xml:space="preserve">Outsourcing voting activities to proxy advisers enables managers that invest in thousands of companies to participate in many more votes than they would without their support. </w:t>
                      </w:r>
                    </w:p>
                  </w:txbxContent>
                </v:textbox>
                <w10:wrap type="square"/>
              </v:rect>
            </w:pict>
          </mc:Fallback>
        </mc:AlternateContent>
      </w:r>
      <w:r w:rsidRPr="00B80858" w:rsidR="00A94DE0">
        <w:rPr>
          <w:rFonts w:ascii="Arial" w:hAnsi="Arial" w:cs="Arial"/>
          <w:b/>
          <w:bCs/>
          <w:sz w:val="20"/>
          <w:szCs w:val="20"/>
        </w:rPr>
        <w:t>Use of proxy voting advisers</w:t>
      </w:r>
    </w:p>
    <w:p w:rsidR="007B4838" w:rsidP="00EC45CA" w14:paraId="7F1093AE" w14:textId="77777777">
      <w:pPr>
        <w:tabs>
          <w:tab w:val="left" w:pos="6946"/>
        </w:tabs>
        <w:spacing w:after="0" w:line="252" w:lineRule="auto"/>
        <w:jc w:val="both"/>
        <w:rPr>
          <w:rFonts w:ascii="Arial" w:hAnsi="Arial" w:cs="Arial"/>
          <w:sz w:val="20"/>
          <w:szCs w:val="20"/>
        </w:rPr>
      </w:pPr>
      <w:r>
        <w:rPr>
          <w:rFonts w:ascii="Arial" w:hAnsi="Arial" w:cs="Arial"/>
          <w:sz w:val="20"/>
          <w:szCs w:val="20"/>
        </w:rPr>
        <w:t>Many investment managers use proxy voting advisers to help them fulfil their stewardship duties. P</w:t>
      </w:r>
      <w:r w:rsidRPr="009B147F">
        <w:rPr>
          <w:rFonts w:ascii="Arial" w:hAnsi="Arial" w:cs="Arial"/>
          <w:sz w:val="20"/>
          <w:szCs w:val="20"/>
        </w:rPr>
        <w:t xml:space="preserve">roxy </w:t>
      </w:r>
      <w:r>
        <w:rPr>
          <w:rFonts w:ascii="Arial" w:hAnsi="Arial" w:cs="Arial"/>
          <w:sz w:val="20"/>
          <w:szCs w:val="20"/>
        </w:rPr>
        <w:t xml:space="preserve">voting </w:t>
      </w:r>
      <w:r w:rsidRPr="009B147F">
        <w:rPr>
          <w:rFonts w:ascii="Arial" w:hAnsi="Arial" w:cs="Arial"/>
          <w:sz w:val="20"/>
          <w:szCs w:val="20"/>
        </w:rPr>
        <w:t>advis</w:t>
      </w:r>
      <w:r>
        <w:rPr>
          <w:rFonts w:ascii="Arial" w:hAnsi="Arial" w:cs="Arial"/>
          <w:sz w:val="20"/>
          <w:szCs w:val="20"/>
        </w:rPr>
        <w:t>e</w:t>
      </w:r>
      <w:r w:rsidRPr="009B147F">
        <w:rPr>
          <w:rFonts w:ascii="Arial" w:hAnsi="Arial" w:cs="Arial"/>
          <w:sz w:val="20"/>
          <w:szCs w:val="20"/>
        </w:rPr>
        <w:t xml:space="preserve">rs provide recommendations to institutional investors on how to vote at shareholder meetings on issues such as climate change, executive pay and board composition. </w:t>
      </w:r>
      <w:r>
        <w:rPr>
          <w:rFonts w:ascii="Arial" w:hAnsi="Arial" w:cs="Arial"/>
          <w:sz w:val="20"/>
          <w:szCs w:val="20"/>
        </w:rPr>
        <w:t xml:space="preserve">They can also provide voting execution, research, record keeping and other services. </w:t>
      </w:r>
    </w:p>
    <w:p w:rsidR="002359C7" w:rsidP="00EC45CA" w14:paraId="39FE7ED6" w14:textId="77777777">
      <w:pPr>
        <w:tabs>
          <w:tab w:val="left" w:pos="6946"/>
        </w:tabs>
        <w:spacing w:after="0" w:line="252" w:lineRule="auto"/>
        <w:jc w:val="both"/>
        <w:rPr>
          <w:rFonts w:ascii="Arial" w:hAnsi="Arial" w:cs="Arial"/>
          <w:sz w:val="20"/>
          <w:szCs w:val="20"/>
        </w:rPr>
      </w:pPr>
    </w:p>
    <w:p w:rsidR="002359C7" w:rsidP="00EC45CA" w14:paraId="73549EB2" w14:textId="77777777">
      <w:pPr>
        <w:tabs>
          <w:tab w:val="left" w:pos="6946"/>
        </w:tabs>
        <w:spacing w:after="0" w:line="252" w:lineRule="auto"/>
        <w:jc w:val="both"/>
        <w:rPr>
          <w:rFonts w:ascii="Arial" w:hAnsi="Arial" w:cs="Arial"/>
          <w:sz w:val="20"/>
          <w:szCs w:val="20"/>
        </w:rPr>
      </w:pPr>
      <w:r w:rsidRPr="00B64EFF">
        <w:rPr>
          <w:rFonts w:ascii="Arial" w:hAnsi="Arial" w:cs="Arial"/>
          <w:sz w:val="20"/>
          <w:szCs w:val="20"/>
        </w:rPr>
        <w:t>Responsible investors will dedicate time and resources towards making their own informed decisions, rather than solely relying on their adviser’s recommendations.</w:t>
      </w:r>
    </w:p>
    <w:p w:rsidR="007B4838" w:rsidP="00EC45CA" w14:paraId="10591365" w14:textId="77777777">
      <w:pPr>
        <w:tabs>
          <w:tab w:val="left" w:pos="6946"/>
        </w:tabs>
        <w:spacing w:after="0" w:line="252" w:lineRule="auto"/>
        <w:jc w:val="both"/>
        <w:rPr>
          <w:rFonts w:ascii="Arial" w:hAnsi="Arial" w:cs="Arial"/>
          <w:sz w:val="20"/>
          <w:szCs w:val="20"/>
        </w:rPr>
      </w:pPr>
    </w:p>
    <w:p w:rsidR="007B4838" w:rsidP="00EC45CA" w14:paraId="4449BF91" w14:textId="0E6933EA">
      <w:pPr>
        <w:tabs>
          <w:tab w:val="left" w:pos="6946"/>
        </w:tabs>
        <w:spacing w:after="0" w:line="252" w:lineRule="auto"/>
        <w:jc w:val="both"/>
        <w:rPr>
          <w:rFonts w:ascii="Arial" w:hAnsi="Arial" w:cs="Arial"/>
          <w:sz w:val="20"/>
          <w:szCs w:val="20"/>
        </w:rPr>
        <w:sectPr w:rsidSect="00C609FB">
          <w:type w:val="continuous"/>
          <w:pgSz w:w="11906" w:h="16838"/>
          <w:pgMar w:top="1440" w:right="4109" w:bottom="1440" w:left="851" w:header="708" w:footer="708" w:gutter="0"/>
          <w:cols w:space="708"/>
          <w:docGrid w:linePitch="360"/>
        </w:sectPr>
      </w:pPr>
      <w:r>
        <w:rPr>
          <w:rFonts w:ascii="Arial" w:hAnsi="Arial" w:cs="Arial"/>
          <w:sz w:val="20"/>
          <w:szCs w:val="20"/>
        </w:rPr>
        <w:t xml:space="preserve">The table below describes how </w:t>
      </w:r>
      <w:r w:rsidRPr="006E6F2B">
        <w:rPr>
          <w:rFonts w:ascii="Arial" w:hAnsi="Arial" w:cs="Arial"/>
          <w:sz w:val="20"/>
          <w:szCs w:val="20"/>
        </w:rPr>
        <w:t xml:space="preserve">the </w:t>
      </w:r>
      <w:r w:rsidR="00EB05A4">
        <w:rPr>
          <w:rFonts w:ascii="Arial" w:hAnsi="Arial" w:cs="Arial"/>
          <w:sz w:val="20"/>
          <w:szCs w:val="20"/>
        </w:rPr>
        <w:t>Scheme</w:t>
      </w:r>
      <w:r w:rsidRPr="006E6F2B">
        <w:rPr>
          <w:rFonts w:ascii="Arial" w:hAnsi="Arial" w:cs="Arial"/>
          <w:sz w:val="20"/>
          <w:szCs w:val="20"/>
        </w:rPr>
        <w:t>’s</w:t>
      </w:r>
      <w:r w:rsidRPr="002C45C3">
        <w:rPr>
          <w:rFonts w:ascii="Arial" w:hAnsi="Arial" w:cs="Arial"/>
          <w:sz w:val="20"/>
          <w:szCs w:val="20"/>
        </w:rPr>
        <w:t xml:space="preserve"> </w:t>
      </w:r>
      <w:r w:rsidR="000F2022">
        <w:rPr>
          <w:rFonts w:ascii="Arial" w:hAnsi="Arial" w:cs="Arial"/>
          <w:sz w:val="20"/>
          <w:szCs w:val="20"/>
        </w:rPr>
        <w:t xml:space="preserve">investment </w:t>
      </w:r>
      <w:r w:rsidRPr="00D6116C">
        <w:rPr>
          <w:rFonts w:ascii="Arial" w:hAnsi="Arial" w:cs="Arial"/>
          <w:sz w:val="20"/>
          <w:szCs w:val="20"/>
        </w:rPr>
        <w:t>managers use</w:t>
      </w:r>
      <w:r>
        <w:rPr>
          <w:rFonts w:ascii="Arial" w:hAnsi="Arial" w:cs="Arial"/>
          <w:sz w:val="20"/>
          <w:szCs w:val="20"/>
        </w:rPr>
        <w:t xml:space="preserve"> proxy voting advisers. </w:t>
      </w:r>
    </w:p>
    <w:p w:rsidR="001F00D6" w:rsidP="004C4354" w14:paraId="5C46E827" w14:textId="77777777">
      <w:pPr>
        <w:spacing w:after="0" w:line="252" w:lineRule="auto"/>
        <w:rPr>
          <w:rFonts w:ascii="Arial" w:hAnsi="Arial" w:cs="Arial"/>
          <w:sz w:val="20"/>
          <w:szCs w:val="20"/>
        </w:rPr>
      </w:pPr>
    </w:p>
    <w:tbl>
      <w:tblPr>
        <w:tblW w:w="50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7"/>
        <w:gridCol w:w="7959"/>
      </w:tblGrid>
      <w:tr w14:paraId="478E06D2" w14:textId="77777777" w:rsidTr="00F83C73">
        <w:tblPrEx>
          <w:tblW w:w="5000" w:type="pct"/>
          <w:tblInd w:w="20" w:type="dxa"/>
          <w:tblLook w:val="04A0"/>
        </w:tblPrEx>
        <w:trPr>
          <w:trHeight w:val="567"/>
        </w:trPr>
        <w:tc>
          <w:tcPr>
            <w:tcW w:w="1101" w:type="pct"/>
            <w:tcBorders>
              <w:left w:val="nil"/>
              <w:right w:val="nil"/>
            </w:tcBorders>
            <w:vAlign w:val="center"/>
          </w:tcPr>
          <w:p w:rsidR="00F83C73" w:rsidRPr="00B130AF" w:rsidP="00F83C73" w14:paraId="27450F23" w14:textId="4DEEE581">
            <w:pPr>
              <w:spacing w:after="0" w:line="252" w:lineRule="auto"/>
              <w:rPr>
                <w:rFonts w:ascii="Arial" w:eastAsia="Arial" w:hAnsi="Arial" w:cs="Arial"/>
                <w:b/>
                <w:color w:val="000000"/>
                <w:sz w:val="18"/>
                <w:szCs w:val="40"/>
              </w:rPr>
            </w:pPr>
            <w:r>
              <w:rPr>
                <w:rFonts w:ascii="Arial" w:eastAsia="Arial" w:hAnsi="Arial" w:cs="Arial"/>
                <w:b/>
                <w:color w:val="000000"/>
                <w:sz w:val="18"/>
                <w:szCs w:val="40"/>
              </w:rPr>
              <w:t>Investment m</w:t>
            </w:r>
            <w:r w:rsidRPr="00B130AF" w:rsidR="00185754">
              <w:rPr>
                <w:rFonts w:ascii="Arial" w:eastAsia="Arial" w:hAnsi="Arial" w:cs="Arial"/>
                <w:b/>
                <w:color w:val="000000"/>
                <w:sz w:val="18"/>
                <w:szCs w:val="40"/>
              </w:rPr>
              <w:t>anagers</w:t>
            </w:r>
          </w:p>
        </w:tc>
        <w:tc>
          <w:tcPr>
            <w:tcW w:w="3899" w:type="pct"/>
            <w:tcBorders>
              <w:left w:val="nil"/>
              <w:right w:val="nil"/>
            </w:tcBorders>
            <w:vAlign w:val="center"/>
          </w:tcPr>
          <w:p w:rsidR="00D30C86" w:rsidRPr="00B130AF" w:rsidP="00F83C73" w14:paraId="229EF79D" w14:textId="68C7D71F">
            <w:pPr>
              <w:spacing w:after="0" w:line="252" w:lineRule="auto"/>
              <w:rPr>
                <w:rFonts w:ascii="Arial" w:eastAsia="Arial" w:hAnsi="Arial" w:cs="Arial"/>
                <w:b/>
                <w:color w:val="000000"/>
                <w:sz w:val="16"/>
                <w:szCs w:val="40"/>
              </w:rPr>
            </w:pPr>
            <w:r w:rsidRPr="00B130AF">
              <w:rPr>
                <w:rFonts w:ascii="Arial" w:eastAsia="Arial" w:hAnsi="Arial" w:cs="Arial"/>
                <w:b/>
                <w:color w:val="000000"/>
                <w:sz w:val="18"/>
                <w:szCs w:val="40"/>
              </w:rPr>
              <w:t>Description of use of proxy voting advisers</w:t>
            </w:r>
          </w:p>
        </w:tc>
      </w:tr>
      <w:tr w14:paraId="1C96BE00" w14:textId="77777777" w:rsidTr="00D6116C">
        <w:tblPrEx>
          <w:tblW w:w="5000" w:type="pct"/>
          <w:tblInd w:w="20" w:type="dxa"/>
          <w:tblLook w:val="04A0"/>
        </w:tblPrEx>
        <w:tc>
          <w:tcPr>
            <w:tcW w:w="1101" w:type="pct"/>
            <w:tcBorders>
              <w:left w:val="nil"/>
              <w:right w:val="nil"/>
            </w:tcBorders>
            <w:shd w:val="clear" w:color="auto" w:fill="FFFFFF"/>
            <w:vAlign w:val="center"/>
          </w:tcPr>
          <w:p w:rsidR="00D30C86" w:rsidRPr="00B130AF" w:rsidP="007B1211" w14:paraId="2EA87664" w14:textId="4156D317">
            <w:pPr>
              <w:spacing w:after="0" w:line="252" w:lineRule="auto"/>
              <w:rPr>
                <w:rFonts w:ascii="Arial" w:eastAsia="Arial" w:hAnsi="Arial" w:cs="Arial"/>
                <w:color w:val="000000"/>
                <w:sz w:val="18"/>
                <w:szCs w:val="40"/>
              </w:rPr>
            </w:pPr>
            <w:r w:rsidRPr="007B1211">
              <w:rPr>
                <w:rFonts w:ascii="Arial" w:eastAsia="Arial" w:hAnsi="Arial" w:cs="Arial"/>
                <w:color w:val="000000"/>
                <w:sz w:val="18"/>
                <w:szCs w:val="40"/>
              </w:rPr>
              <w:t>Legal and General Investment Management (“LGIM”)</w:t>
            </w:r>
          </w:p>
        </w:tc>
        <w:tc>
          <w:tcPr>
            <w:tcW w:w="3899" w:type="pct"/>
            <w:tcBorders>
              <w:left w:val="nil"/>
              <w:right w:val="nil"/>
            </w:tcBorders>
            <w:shd w:val="clear" w:color="auto" w:fill="FFFFFF"/>
            <w:vAlign w:val="center"/>
          </w:tcPr>
          <w:p w:rsidR="00D30C86" w:rsidRPr="00B130AF" w:rsidP="007B1211" w14:paraId="0FD2947A" w14:textId="512E956D">
            <w:pPr>
              <w:spacing w:after="0" w:line="252" w:lineRule="auto"/>
              <w:jc w:val="both"/>
              <w:rPr>
                <w:rFonts w:ascii="Arial" w:eastAsia="Arial" w:hAnsi="Arial" w:cs="Arial"/>
                <w:color w:val="000000"/>
                <w:sz w:val="18"/>
                <w:szCs w:val="40"/>
              </w:rPr>
            </w:pPr>
            <w:r w:rsidRPr="00B130AF">
              <w:rPr>
                <w:rFonts w:ascii="Arial" w:eastAsia="Arial" w:hAnsi="Arial" w:cs="Arial"/>
                <w:color w:val="000000"/>
                <w:sz w:val="18"/>
                <w:szCs w:val="40"/>
              </w:rPr>
              <w:t xml:space="preserve">LGIM’s Investment Stewardship team uses </w:t>
            </w:r>
            <w:r w:rsidRPr="00B130AF" w:rsidR="002C45C3">
              <w:rPr>
                <w:rFonts w:ascii="Arial" w:eastAsia="Arial" w:hAnsi="Arial" w:cs="Arial"/>
                <w:color w:val="000000"/>
                <w:sz w:val="18"/>
                <w:szCs w:val="40"/>
              </w:rPr>
              <w:t xml:space="preserve">Institutional Shareholder Services’ (ISS) </w:t>
            </w:r>
            <w:r w:rsidRPr="00B130AF">
              <w:rPr>
                <w:rFonts w:ascii="Arial" w:eastAsia="Arial" w:hAnsi="Arial" w:cs="Arial"/>
                <w:color w:val="000000"/>
                <w:sz w:val="18"/>
                <w:szCs w:val="40"/>
              </w:rPr>
              <w:t>‘ProxyExchange’ electronic voting platform to electronically vote clients’ shares. All voting decisions are made by LGIM</w:t>
            </w:r>
            <w:r w:rsidR="006E6F2B">
              <w:rPr>
                <w:rFonts w:ascii="Arial" w:eastAsia="Arial" w:hAnsi="Arial" w:cs="Arial"/>
                <w:color w:val="000000"/>
                <w:sz w:val="18"/>
                <w:szCs w:val="40"/>
              </w:rPr>
              <w:t>. LGIM</w:t>
            </w:r>
            <w:r w:rsidRPr="00B130AF" w:rsidR="006E6F2B">
              <w:rPr>
                <w:rFonts w:ascii="Arial" w:eastAsia="Arial" w:hAnsi="Arial" w:cs="Arial"/>
                <w:color w:val="000000"/>
                <w:sz w:val="18"/>
                <w:szCs w:val="40"/>
              </w:rPr>
              <w:t xml:space="preserve"> </w:t>
            </w:r>
            <w:r w:rsidRPr="00B130AF">
              <w:rPr>
                <w:rFonts w:ascii="Arial" w:eastAsia="Arial" w:hAnsi="Arial" w:cs="Arial"/>
                <w:color w:val="000000"/>
                <w:sz w:val="18"/>
                <w:szCs w:val="40"/>
              </w:rPr>
              <w:t xml:space="preserve">do not outsource any part of the strategic decisions. To ensure </w:t>
            </w:r>
            <w:r w:rsidR="006E6F2B">
              <w:rPr>
                <w:rFonts w:ascii="Arial" w:eastAsia="Arial" w:hAnsi="Arial" w:cs="Arial"/>
                <w:color w:val="000000"/>
                <w:sz w:val="18"/>
                <w:szCs w:val="40"/>
              </w:rPr>
              <w:t xml:space="preserve">LGIM’s </w:t>
            </w:r>
            <w:r w:rsidRPr="00B130AF">
              <w:rPr>
                <w:rFonts w:ascii="Arial" w:eastAsia="Arial" w:hAnsi="Arial" w:cs="Arial"/>
                <w:color w:val="000000"/>
                <w:sz w:val="18"/>
                <w:szCs w:val="40"/>
              </w:rPr>
              <w:t xml:space="preserve">proxy provider votes in accordance with </w:t>
            </w:r>
            <w:r w:rsidR="006E6F2B">
              <w:rPr>
                <w:rFonts w:ascii="Arial" w:eastAsia="Arial" w:hAnsi="Arial" w:cs="Arial"/>
                <w:color w:val="000000"/>
                <w:sz w:val="18"/>
                <w:szCs w:val="40"/>
              </w:rPr>
              <w:t xml:space="preserve">the </w:t>
            </w:r>
            <w:r w:rsidRPr="00B130AF">
              <w:rPr>
                <w:rFonts w:ascii="Arial" w:eastAsia="Arial" w:hAnsi="Arial" w:cs="Arial"/>
                <w:color w:val="000000"/>
                <w:sz w:val="18"/>
                <w:szCs w:val="40"/>
              </w:rPr>
              <w:t xml:space="preserve">position on ESG, </w:t>
            </w:r>
            <w:r w:rsidR="006E6F2B">
              <w:rPr>
                <w:rFonts w:ascii="Arial" w:eastAsia="Arial" w:hAnsi="Arial" w:cs="Arial"/>
                <w:color w:val="000000"/>
                <w:sz w:val="18"/>
                <w:szCs w:val="40"/>
              </w:rPr>
              <w:t xml:space="preserve">LGIM </w:t>
            </w:r>
            <w:r w:rsidRPr="00B130AF">
              <w:rPr>
                <w:rFonts w:ascii="Arial" w:eastAsia="Arial" w:hAnsi="Arial" w:cs="Arial"/>
                <w:color w:val="000000"/>
                <w:sz w:val="18"/>
                <w:szCs w:val="40"/>
              </w:rPr>
              <w:t>have put in place a custom voting policy with specific voting instructions.</w:t>
            </w:r>
          </w:p>
        </w:tc>
      </w:tr>
      <w:tr w14:paraId="00F2D5B9" w14:textId="77777777" w:rsidTr="00D6116C">
        <w:tblPrEx>
          <w:tblW w:w="5000" w:type="pct"/>
          <w:tblInd w:w="20" w:type="dxa"/>
          <w:tblLook w:val="04A0"/>
        </w:tblPrEx>
        <w:tc>
          <w:tcPr>
            <w:tcW w:w="1101" w:type="pct"/>
            <w:tcBorders>
              <w:left w:val="nil"/>
              <w:right w:val="nil"/>
            </w:tcBorders>
            <w:shd w:val="clear" w:color="auto" w:fill="FFFFFF"/>
            <w:vAlign w:val="center"/>
          </w:tcPr>
          <w:p w:rsidR="00D30C86" w:rsidRPr="00B130AF" w:rsidP="007B1211" w14:paraId="5E03C9E2" w14:textId="335F1FDF">
            <w:pPr>
              <w:spacing w:after="0" w:line="252" w:lineRule="auto"/>
              <w:rPr>
                <w:rFonts w:ascii="Arial" w:eastAsia="Arial" w:hAnsi="Arial" w:cs="Arial"/>
                <w:color w:val="000000"/>
                <w:sz w:val="18"/>
                <w:szCs w:val="40"/>
              </w:rPr>
            </w:pPr>
            <w:r w:rsidRPr="00B80858">
              <w:rPr>
                <w:rFonts w:ascii="Arial" w:eastAsia="Arial" w:hAnsi="Arial" w:cs="Arial"/>
                <w:color w:val="000000"/>
                <w:sz w:val="16"/>
                <w:szCs w:val="36"/>
              </w:rPr>
              <w:t>UBS Global Asset Management (“UBS”)</w:t>
            </w:r>
          </w:p>
        </w:tc>
        <w:tc>
          <w:tcPr>
            <w:tcW w:w="3899" w:type="pct"/>
            <w:tcBorders>
              <w:left w:val="nil"/>
              <w:right w:val="nil"/>
            </w:tcBorders>
            <w:shd w:val="clear" w:color="auto" w:fill="FFFFFF"/>
            <w:vAlign w:val="center"/>
          </w:tcPr>
          <w:p w:rsidR="00D30C86" w:rsidRPr="00B130AF" w:rsidP="007B1211" w14:paraId="5264D2AB" w14:textId="374924DE">
            <w:pPr>
              <w:spacing w:after="0" w:line="252" w:lineRule="auto"/>
              <w:jc w:val="both"/>
              <w:rPr>
                <w:rFonts w:ascii="Arial" w:eastAsia="Arial" w:hAnsi="Arial" w:cs="Arial"/>
                <w:color w:val="000000"/>
                <w:sz w:val="18"/>
                <w:szCs w:val="40"/>
              </w:rPr>
            </w:pPr>
            <w:r w:rsidRPr="00B130AF">
              <w:rPr>
                <w:rFonts w:ascii="Arial" w:eastAsia="Arial" w:hAnsi="Arial" w:cs="Arial"/>
                <w:color w:val="000000"/>
                <w:sz w:val="18"/>
                <w:szCs w:val="40"/>
              </w:rPr>
              <w:t xml:space="preserve">UBS AM </w:t>
            </w:r>
            <w:r w:rsidRPr="00B130AF">
              <w:rPr>
                <w:rFonts w:ascii="Arial" w:eastAsia="Arial" w:hAnsi="Arial" w:cs="Arial"/>
                <w:color w:val="000000"/>
                <w:sz w:val="18"/>
                <w:szCs w:val="40"/>
              </w:rPr>
              <w:t>retains</w:t>
            </w:r>
            <w:r w:rsidRPr="00B130AF">
              <w:rPr>
                <w:rFonts w:ascii="Arial" w:eastAsia="Arial" w:hAnsi="Arial" w:cs="Arial"/>
                <w:color w:val="000000"/>
                <w:sz w:val="18"/>
                <w:szCs w:val="40"/>
              </w:rPr>
              <w:t xml:space="preserve"> the services of ISS for the physical exercise of voting rights and for supporting voting research. UBS retains full discretion when determining how to vote at shareholder meetings.</w:t>
            </w:r>
          </w:p>
        </w:tc>
      </w:tr>
    </w:tbl>
    <w:p w:rsidR="00481F63" w:rsidRPr="00BD3020" w:rsidP="00D71C61" w14:paraId="7EFDC763" w14:textId="17F98FB7">
      <w:pPr>
        <w:spacing w:after="0" w:line="252" w:lineRule="auto"/>
        <w:rPr>
          <w:rFonts w:ascii="Arial" w:hAnsi="Arial" w:cs="Arial"/>
          <w:sz w:val="20"/>
          <w:szCs w:val="20"/>
        </w:rPr>
      </w:pPr>
      <w:r w:rsidRPr="00D71C61">
        <w:rPr>
          <w:rFonts w:ascii="Arial" w:eastAsia="Arial" w:hAnsi="Arial" w:cs="Arial"/>
          <w:i/>
          <w:iCs/>
          <w:sz w:val="16"/>
          <w:szCs w:val="16"/>
        </w:rPr>
        <w:t>Source</w:t>
      </w:r>
      <w:r w:rsidRPr="002C45C3">
        <w:rPr>
          <w:rFonts w:ascii="Arial" w:eastAsia="Arial" w:hAnsi="Arial" w:cs="Arial"/>
          <w:i/>
          <w:iCs/>
          <w:sz w:val="16"/>
          <w:szCs w:val="16"/>
        </w:rPr>
        <w:t xml:space="preserve">: </w:t>
      </w:r>
      <w:r w:rsidR="000F2022">
        <w:rPr>
          <w:rFonts w:ascii="Arial" w:eastAsia="Arial" w:hAnsi="Arial" w:cs="Arial"/>
          <w:i/>
          <w:iCs/>
          <w:sz w:val="16"/>
          <w:szCs w:val="16"/>
        </w:rPr>
        <w:t>Investment m</w:t>
      </w:r>
      <w:r w:rsidRPr="00D6116C" w:rsidR="009C0F83">
        <w:rPr>
          <w:rFonts w:ascii="Arial" w:eastAsia="Arial" w:hAnsi="Arial" w:cs="Arial"/>
          <w:i/>
          <w:iCs/>
          <w:sz w:val="16"/>
          <w:szCs w:val="16"/>
        </w:rPr>
        <w:t>anagers</w:t>
      </w:r>
      <w:r w:rsidRPr="000454CE" w:rsidR="009C0F83">
        <w:rPr>
          <w:rFonts w:ascii="Arial" w:eastAsia="Arial" w:hAnsi="Arial" w:cs="Arial"/>
          <w:i/>
          <w:iCs/>
          <w:sz w:val="16"/>
          <w:szCs w:val="16"/>
        </w:rPr>
        <w:t xml:space="preserve"> </w:t>
      </w:r>
    </w:p>
    <w:p w:rsidR="00A16B82" w:rsidP="00A16B82" w14:paraId="68D70F1C" w14:textId="77777777">
      <w:pPr>
        <w:pStyle w:val="ListParagraph"/>
        <w:spacing w:after="0" w:line="252" w:lineRule="auto"/>
        <w:ind w:left="0"/>
        <w:rPr>
          <w:rFonts w:ascii="Arial" w:hAnsi="Arial" w:cs="Arial"/>
          <w:sz w:val="20"/>
          <w:szCs w:val="20"/>
        </w:rPr>
        <w:sectPr w:rsidSect="00013631">
          <w:type w:val="continuous"/>
          <w:pgSz w:w="11906" w:h="16838"/>
          <w:pgMar w:top="1440" w:right="849" w:bottom="1440" w:left="851" w:header="708" w:footer="708" w:gutter="0"/>
          <w:cols w:space="708"/>
          <w:docGrid w:linePitch="360"/>
        </w:sectPr>
      </w:pPr>
    </w:p>
    <w:p w:rsidR="002B6244" w:rsidP="00B64EFF" w14:paraId="1D6B8B00" w14:textId="77777777">
      <w:pPr>
        <w:spacing w:after="0" w:line="252" w:lineRule="auto"/>
        <w:rPr>
          <w:rFonts w:ascii="Arial" w:hAnsi="Arial" w:cs="Arial"/>
          <w:sz w:val="20"/>
          <w:szCs w:val="20"/>
        </w:rPr>
      </w:pPr>
    </w:p>
    <w:p w:rsidR="00723008" w:rsidRPr="00B80858" w:rsidP="00B80858" w14:paraId="41C05312" w14:textId="77777777">
      <w:pPr>
        <w:spacing w:after="120" w:line="252" w:lineRule="auto"/>
        <w:ind w:right="-3260"/>
        <w:jc w:val="both"/>
        <w:rPr>
          <w:rFonts w:ascii="Arial" w:hAnsi="Arial" w:cs="Arial"/>
          <w:b/>
          <w:bCs/>
          <w:sz w:val="20"/>
          <w:szCs w:val="20"/>
        </w:rPr>
      </w:pPr>
      <w:r w:rsidRPr="00B80858">
        <w:rPr>
          <w:rFonts w:ascii="Arial" w:hAnsi="Arial" w:cs="Arial"/>
          <w:b/>
          <w:bCs/>
          <w:sz w:val="20"/>
          <w:szCs w:val="20"/>
        </w:rPr>
        <w:t>Significant vot</w:t>
      </w:r>
      <w:r w:rsidRPr="00B80858" w:rsidR="00F4022B">
        <w:rPr>
          <w:rFonts w:ascii="Arial" w:hAnsi="Arial" w:cs="Arial"/>
          <w:b/>
          <w:bCs/>
          <w:sz w:val="20"/>
          <w:szCs w:val="20"/>
        </w:rPr>
        <w:t>ing</w:t>
      </w:r>
      <w:r w:rsidRPr="00B80858">
        <w:rPr>
          <w:rFonts w:ascii="Arial" w:hAnsi="Arial" w:cs="Arial"/>
          <w:b/>
          <w:bCs/>
          <w:sz w:val="20"/>
          <w:szCs w:val="20"/>
        </w:rPr>
        <w:t xml:space="preserve"> examples</w:t>
      </w:r>
    </w:p>
    <w:p w:rsidR="00A94DE0" w:rsidRPr="000170FE" w:rsidP="00B80858" w14:paraId="0A3FABBD" w14:textId="29B99CB3">
      <w:pPr>
        <w:spacing w:line="252" w:lineRule="auto"/>
        <w:ind w:right="-3260"/>
        <w:jc w:val="both"/>
        <w:rPr>
          <w:rFonts w:ascii="Arial" w:hAnsi="Arial" w:cs="Arial"/>
          <w:sz w:val="20"/>
          <w:szCs w:val="20"/>
        </w:rPr>
      </w:pPr>
      <w:r w:rsidRPr="000170FE">
        <w:rPr>
          <w:rFonts w:ascii="Arial" w:hAnsi="Arial" w:cs="Arial"/>
          <w:sz w:val="20"/>
          <w:szCs w:val="20"/>
        </w:rPr>
        <w:t xml:space="preserve">To illustrate the voting activity being carried out on our behalf, the </w:t>
      </w:r>
      <w:r w:rsidRPr="000170FE" w:rsidR="009978E6">
        <w:rPr>
          <w:rFonts w:ascii="Arial" w:hAnsi="Arial" w:cs="Arial"/>
          <w:sz w:val="20"/>
          <w:szCs w:val="20"/>
        </w:rPr>
        <w:t xml:space="preserve">Scheme’s underlying </w:t>
      </w:r>
      <w:r w:rsidRPr="000170FE">
        <w:rPr>
          <w:rFonts w:ascii="Arial" w:hAnsi="Arial" w:cs="Arial"/>
          <w:sz w:val="20"/>
          <w:szCs w:val="20"/>
        </w:rPr>
        <w:t xml:space="preserve">investment managers </w:t>
      </w:r>
      <w:r w:rsidRPr="000170FE" w:rsidR="009978E6">
        <w:rPr>
          <w:rFonts w:ascii="Arial" w:hAnsi="Arial" w:cs="Arial"/>
          <w:sz w:val="20"/>
          <w:szCs w:val="20"/>
        </w:rPr>
        <w:t xml:space="preserve">were asked </w:t>
      </w:r>
      <w:r w:rsidRPr="000170FE">
        <w:rPr>
          <w:rFonts w:ascii="Arial" w:hAnsi="Arial" w:cs="Arial"/>
          <w:sz w:val="20"/>
          <w:szCs w:val="20"/>
        </w:rPr>
        <w:t>to provide a selection of</w:t>
      </w:r>
      <w:r w:rsidRPr="000170FE" w:rsidR="001F00D6">
        <w:rPr>
          <w:rFonts w:ascii="Arial" w:hAnsi="Arial" w:cs="Arial"/>
          <w:sz w:val="20"/>
          <w:szCs w:val="20"/>
        </w:rPr>
        <w:t xml:space="preserve"> what they consider to be</w:t>
      </w:r>
      <w:r w:rsidRPr="000170FE">
        <w:rPr>
          <w:rFonts w:ascii="Arial" w:hAnsi="Arial" w:cs="Arial"/>
          <w:sz w:val="20"/>
          <w:szCs w:val="20"/>
        </w:rPr>
        <w:t xml:space="preserve"> the most significant votes </w:t>
      </w:r>
      <w:r w:rsidRPr="000170FE" w:rsidR="00D47B5D">
        <w:rPr>
          <w:rFonts w:ascii="Arial" w:hAnsi="Arial" w:cs="Arial"/>
          <w:sz w:val="20"/>
          <w:szCs w:val="20"/>
        </w:rPr>
        <w:t xml:space="preserve">in relation to the </w:t>
      </w:r>
      <w:r w:rsidRPr="000170FE" w:rsidR="009978E6">
        <w:rPr>
          <w:rFonts w:ascii="Arial" w:hAnsi="Arial" w:cs="Arial"/>
          <w:sz w:val="20"/>
          <w:szCs w:val="20"/>
        </w:rPr>
        <w:t>Scheme</w:t>
      </w:r>
      <w:r w:rsidRPr="000170FE" w:rsidR="001F00D6">
        <w:rPr>
          <w:rFonts w:ascii="Arial" w:hAnsi="Arial" w:cs="Arial"/>
          <w:sz w:val="20"/>
          <w:szCs w:val="20"/>
        </w:rPr>
        <w:t xml:space="preserve">’s </w:t>
      </w:r>
      <w:r w:rsidRPr="000170FE" w:rsidR="00D47B5D">
        <w:rPr>
          <w:rFonts w:ascii="Arial" w:hAnsi="Arial" w:cs="Arial"/>
          <w:sz w:val="20"/>
          <w:szCs w:val="20"/>
        </w:rPr>
        <w:t>fund</w:t>
      </w:r>
      <w:r w:rsidRPr="000170FE">
        <w:rPr>
          <w:rFonts w:ascii="Arial" w:hAnsi="Arial" w:cs="Arial"/>
          <w:sz w:val="20"/>
          <w:szCs w:val="20"/>
        </w:rPr>
        <w:t>s. A sample of these significant votes can be found in the appendix</w:t>
      </w:r>
      <w:r w:rsidRPr="000170FE" w:rsidR="00BB1A72">
        <w:rPr>
          <w:rFonts w:ascii="Arial" w:hAnsi="Arial" w:cs="Arial"/>
          <w:sz w:val="20"/>
          <w:szCs w:val="20"/>
        </w:rPr>
        <w:t>.</w:t>
      </w:r>
    </w:p>
    <w:bookmarkEnd w:id="16"/>
    <w:p w:rsidR="008F2F6B" w:rsidP="00184F16" w14:paraId="47AC2F1A" w14:textId="77777777">
      <w:pPr>
        <w:spacing w:line="252" w:lineRule="auto"/>
        <w:jc w:val="both"/>
        <w:rPr>
          <w:rFonts w:ascii="Arial" w:hAnsi="Arial" w:cs="Arial"/>
          <w:i/>
          <w:iCs/>
          <w:sz w:val="16"/>
          <w:szCs w:val="16"/>
        </w:rPr>
        <w:sectPr w:rsidSect="00C609FB">
          <w:type w:val="continuous"/>
          <w:pgSz w:w="11906" w:h="16838"/>
          <w:pgMar w:top="1440" w:right="4109" w:bottom="1440" w:left="851" w:header="708" w:footer="708" w:gutter="0"/>
          <w:cols w:space="708"/>
          <w:docGrid w:linePitch="360"/>
        </w:sectPr>
      </w:pPr>
    </w:p>
    <w:p w:rsidR="002207F8" w:rsidRPr="00F83C73" w:rsidP="00D81E3F" w14:paraId="3397D030" w14:textId="4C8A05BE">
      <w:pPr>
        <w:spacing w:line="252" w:lineRule="auto"/>
        <w:rPr>
          <w:rFonts w:ascii="Arial" w:hAnsi="Arial" w:cs="Arial"/>
          <w:b/>
          <w:bCs/>
        </w:rPr>
      </w:pPr>
      <w:r w:rsidRPr="00F83C73">
        <w:rPr>
          <w:rFonts w:ascii="Arial" w:hAnsi="Arial" w:cs="Arial"/>
          <w:b/>
          <w:bCs/>
        </w:rPr>
        <w:t>O</w:t>
      </w:r>
      <w:r w:rsidRPr="00F83C73" w:rsidR="003058BC">
        <w:rPr>
          <w:rFonts w:ascii="Arial" w:hAnsi="Arial" w:cs="Arial"/>
          <w:b/>
          <w:bCs/>
        </w:rPr>
        <w:t xml:space="preserve">ur </w:t>
      </w:r>
      <w:r w:rsidRPr="00F83C73" w:rsidR="000F2022">
        <w:rPr>
          <w:rFonts w:ascii="Arial" w:hAnsi="Arial" w:cs="Arial"/>
          <w:b/>
          <w:bCs/>
        </w:rPr>
        <w:t xml:space="preserve">investment </w:t>
      </w:r>
      <w:r w:rsidRPr="00F83C73" w:rsidR="003058BC">
        <w:rPr>
          <w:rFonts w:ascii="Arial" w:hAnsi="Arial" w:cs="Arial"/>
          <w:b/>
          <w:bCs/>
        </w:rPr>
        <w:t>m</w:t>
      </w:r>
      <w:r w:rsidRPr="00F83C73" w:rsidR="003E635B">
        <w:rPr>
          <w:rFonts w:ascii="Arial" w:hAnsi="Arial" w:cs="Arial"/>
          <w:b/>
          <w:bCs/>
        </w:rPr>
        <w:t>anager</w:t>
      </w:r>
      <w:r w:rsidRPr="00F83C73" w:rsidR="00E940A6">
        <w:rPr>
          <w:rFonts w:ascii="Arial" w:hAnsi="Arial" w:cs="Arial"/>
          <w:b/>
          <w:bCs/>
        </w:rPr>
        <w:t>s’</w:t>
      </w:r>
      <w:r w:rsidRPr="00F83C73" w:rsidR="003E635B">
        <w:rPr>
          <w:rFonts w:ascii="Arial" w:hAnsi="Arial" w:cs="Arial"/>
          <w:b/>
          <w:bCs/>
        </w:rPr>
        <w:t xml:space="preserve"> </w:t>
      </w:r>
      <w:r w:rsidRPr="00F83C73" w:rsidR="00CD0B21">
        <w:rPr>
          <w:rFonts w:ascii="Arial" w:hAnsi="Arial" w:cs="Arial"/>
          <w:b/>
          <w:bCs/>
        </w:rPr>
        <w:t>e</w:t>
      </w:r>
      <w:r w:rsidRPr="00F83C73" w:rsidR="004B521E">
        <w:rPr>
          <w:rFonts w:ascii="Arial" w:hAnsi="Arial" w:cs="Arial"/>
          <w:b/>
          <w:bCs/>
        </w:rPr>
        <w:t xml:space="preserve">ngagement activity </w:t>
      </w:r>
    </w:p>
    <w:p w:rsidR="009E4FFC" w:rsidP="00B80858" w14:paraId="621A8FD0" w14:textId="77777777">
      <w:pPr>
        <w:spacing w:after="0" w:line="252" w:lineRule="auto"/>
        <w:ind w:right="-2996"/>
        <w:jc w:val="both"/>
        <w:rPr>
          <w:rFonts w:ascii="Arial" w:hAnsi="Arial" w:cs="Arial"/>
          <w:sz w:val="20"/>
          <w:szCs w:val="20"/>
        </w:rPr>
      </w:pPr>
      <w:r w:rsidRPr="004B1C1D">
        <w:rPr>
          <w:rFonts w:ascii="Arial" w:hAnsi="Arial" w:cs="Arial"/>
          <w:sz w:val="20"/>
          <w:szCs w:val="20"/>
        </w:rPr>
        <w:t xml:space="preserve">Engagement </w:t>
      </w:r>
      <w:r>
        <w:rPr>
          <w:rFonts w:ascii="Arial" w:hAnsi="Arial" w:cs="Arial"/>
          <w:sz w:val="20"/>
          <w:szCs w:val="20"/>
        </w:rPr>
        <w:t xml:space="preserve">is when </w:t>
      </w:r>
      <w:r w:rsidRPr="004B1C1D">
        <w:rPr>
          <w:rFonts w:ascii="Arial" w:hAnsi="Arial" w:cs="Arial"/>
          <w:sz w:val="20"/>
          <w:szCs w:val="20"/>
        </w:rPr>
        <w:t>an investor communicat</w:t>
      </w:r>
      <w:r>
        <w:rPr>
          <w:rFonts w:ascii="Arial" w:hAnsi="Arial" w:cs="Arial"/>
          <w:sz w:val="20"/>
          <w:szCs w:val="20"/>
        </w:rPr>
        <w:t>es</w:t>
      </w:r>
      <w:r w:rsidRPr="004B1C1D">
        <w:rPr>
          <w:rFonts w:ascii="Arial" w:hAnsi="Arial" w:cs="Arial"/>
          <w:sz w:val="20"/>
          <w:szCs w:val="20"/>
        </w:rPr>
        <w:t xml:space="preserve"> with current (or potential) investee companies (or issuers) to improve </w:t>
      </w:r>
      <w:r>
        <w:rPr>
          <w:rFonts w:ascii="Arial" w:hAnsi="Arial" w:cs="Arial"/>
          <w:sz w:val="20"/>
          <w:szCs w:val="20"/>
        </w:rPr>
        <w:t xml:space="preserve">their </w:t>
      </w:r>
      <w:r w:rsidRPr="004B1C1D">
        <w:rPr>
          <w:rFonts w:ascii="Arial" w:hAnsi="Arial" w:cs="Arial"/>
          <w:sz w:val="20"/>
          <w:szCs w:val="20"/>
        </w:rPr>
        <w:t>ESG practices, sustainability outcomes or public disclosure. Good engagement identifies relevant ESG issues, sets objectives, tracks results, maps escalation strategies and incorporates findings into investment decision-making.</w:t>
      </w:r>
    </w:p>
    <w:p w:rsidR="007B4838" w:rsidP="00B80858" w14:paraId="300BF841" w14:textId="77777777">
      <w:pPr>
        <w:spacing w:after="0" w:line="252" w:lineRule="auto"/>
        <w:ind w:right="-2996"/>
        <w:jc w:val="both"/>
        <w:rPr>
          <w:rFonts w:ascii="Arial" w:hAnsi="Arial" w:cs="Arial"/>
          <w:sz w:val="20"/>
          <w:szCs w:val="20"/>
        </w:rPr>
      </w:pPr>
    </w:p>
    <w:p w:rsidR="00945EC9" w:rsidP="00B80858" w14:paraId="563F9959" w14:textId="5941B152">
      <w:pPr>
        <w:spacing w:after="0" w:line="252" w:lineRule="auto"/>
        <w:ind w:right="-2996"/>
        <w:jc w:val="both"/>
        <w:rPr>
          <w:rFonts w:ascii="Arial" w:hAnsi="Arial" w:cs="Arial"/>
          <w:sz w:val="20"/>
          <w:szCs w:val="20"/>
        </w:rPr>
      </w:pPr>
      <w:r w:rsidRPr="00A166B2">
        <w:rPr>
          <w:rFonts w:ascii="Arial" w:hAnsi="Arial" w:cs="Arial"/>
          <w:sz w:val="20"/>
          <w:szCs w:val="20"/>
        </w:rPr>
        <w:t xml:space="preserve">The </w:t>
      </w:r>
      <w:r w:rsidRPr="00A166B2" w:rsidR="003E635B">
        <w:rPr>
          <w:rFonts w:ascii="Arial" w:hAnsi="Arial" w:cs="Arial"/>
          <w:sz w:val="20"/>
          <w:szCs w:val="20"/>
        </w:rPr>
        <w:t xml:space="preserve">table </w:t>
      </w:r>
      <w:r w:rsidR="004B1C1D">
        <w:rPr>
          <w:rFonts w:ascii="Arial" w:hAnsi="Arial" w:cs="Arial"/>
          <w:sz w:val="20"/>
          <w:szCs w:val="20"/>
        </w:rPr>
        <w:t xml:space="preserve">below </w:t>
      </w:r>
      <w:r w:rsidRPr="00A166B2" w:rsidR="003E635B">
        <w:rPr>
          <w:rFonts w:ascii="Arial" w:hAnsi="Arial" w:cs="Arial"/>
          <w:sz w:val="20"/>
          <w:szCs w:val="20"/>
        </w:rPr>
        <w:t xml:space="preserve">shows </w:t>
      </w:r>
      <w:r w:rsidRPr="00A166B2">
        <w:rPr>
          <w:rFonts w:ascii="Arial" w:hAnsi="Arial" w:cs="Arial"/>
          <w:sz w:val="20"/>
          <w:szCs w:val="20"/>
        </w:rPr>
        <w:t xml:space="preserve">some of the engagement activity </w:t>
      </w:r>
      <w:r w:rsidRPr="00E97B41">
        <w:rPr>
          <w:rFonts w:ascii="Arial" w:hAnsi="Arial" w:cs="Arial"/>
          <w:sz w:val="20"/>
          <w:szCs w:val="20"/>
        </w:rPr>
        <w:t>carried</w:t>
      </w:r>
      <w:r w:rsidRPr="00A166B2">
        <w:rPr>
          <w:rFonts w:ascii="Arial" w:hAnsi="Arial" w:cs="Arial"/>
          <w:sz w:val="20"/>
          <w:szCs w:val="20"/>
        </w:rPr>
        <w:t xml:space="preserve"> out by the </w:t>
      </w:r>
      <w:r w:rsidR="000170FE">
        <w:rPr>
          <w:rFonts w:ascii="Arial" w:hAnsi="Arial" w:cs="Arial"/>
          <w:sz w:val="20"/>
          <w:szCs w:val="20"/>
        </w:rPr>
        <w:t>Scheme</w:t>
      </w:r>
      <w:r w:rsidRPr="00A166B2">
        <w:rPr>
          <w:rFonts w:ascii="Arial" w:hAnsi="Arial" w:cs="Arial"/>
          <w:sz w:val="20"/>
          <w:szCs w:val="20"/>
        </w:rPr>
        <w:t xml:space="preserve">’s </w:t>
      </w:r>
      <w:r w:rsidRPr="00A166B2" w:rsidR="003E635B">
        <w:rPr>
          <w:rFonts w:ascii="Arial" w:hAnsi="Arial" w:cs="Arial"/>
          <w:sz w:val="20"/>
          <w:szCs w:val="20"/>
        </w:rPr>
        <w:t>mat</w:t>
      </w:r>
      <w:r w:rsidRPr="002217BF" w:rsidR="003E635B">
        <w:rPr>
          <w:rFonts w:ascii="Arial" w:hAnsi="Arial" w:cs="Arial"/>
          <w:sz w:val="20"/>
          <w:szCs w:val="20"/>
        </w:rPr>
        <w:t xml:space="preserve">erial </w:t>
      </w:r>
      <w:r w:rsidR="000170FE">
        <w:rPr>
          <w:rFonts w:ascii="Arial" w:hAnsi="Arial" w:cs="Arial"/>
          <w:sz w:val="20"/>
          <w:szCs w:val="20"/>
        </w:rPr>
        <w:t xml:space="preserve">underlying </w:t>
      </w:r>
      <w:r w:rsidR="000F2022">
        <w:rPr>
          <w:rFonts w:ascii="Arial" w:hAnsi="Arial" w:cs="Arial"/>
          <w:sz w:val="20"/>
          <w:szCs w:val="20"/>
        </w:rPr>
        <w:t xml:space="preserve">investment </w:t>
      </w:r>
      <w:r w:rsidRPr="00D6116C">
        <w:rPr>
          <w:rFonts w:ascii="Arial" w:hAnsi="Arial" w:cs="Arial"/>
          <w:sz w:val="20"/>
          <w:szCs w:val="20"/>
        </w:rPr>
        <w:t>managers</w:t>
      </w:r>
      <w:r w:rsidRPr="00D6116C" w:rsidR="000B605C">
        <w:rPr>
          <w:rFonts w:ascii="Arial" w:hAnsi="Arial" w:cs="Arial"/>
          <w:sz w:val="20"/>
          <w:szCs w:val="20"/>
        </w:rPr>
        <w:t>.</w:t>
      </w:r>
      <w:r w:rsidRPr="002217BF" w:rsidR="000B605C">
        <w:rPr>
          <w:rFonts w:ascii="Arial" w:hAnsi="Arial" w:cs="Arial"/>
          <w:sz w:val="20"/>
          <w:szCs w:val="20"/>
        </w:rPr>
        <w:t xml:space="preserve"> The </w:t>
      </w:r>
      <w:r w:rsidRPr="00D6116C" w:rsidR="000B605C">
        <w:rPr>
          <w:rFonts w:ascii="Arial" w:hAnsi="Arial" w:cs="Arial"/>
          <w:sz w:val="20"/>
          <w:szCs w:val="20"/>
        </w:rPr>
        <w:t>managers have</w:t>
      </w:r>
      <w:r w:rsidR="000B605C">
        <w:rPr>
          <w:rFonts w:ascii="Arial" w:hAnsi="Arial" w:cs="Arial"/>
          <w:sz w:val="20"/>
          <w:szCs w:val="20"/>
        </w:rPr>
        <w:t xml:space="preserve"> provided information</w:t>
      </w:r>
      <w:r w:rsidRPr="00A166B2">
        <w:rPr>
          <w:rFonts w:ascii="Arial" w:hAnsi="Arial" w:cs="Arial"/>
          <w:sz w:val="20"/>
          <w:szCs w:val="20"/>
        </w:rPr>
        <w:t xml:space="preserve"> </w:t>
      </w:r>
      <w:r w:rsidR="000B605C">
        <w:rPr>
          <w:rFonts w:ascii="Arial" w:hAnsi="Arial" w:cs="Arial"/>
          <w:sz w:val="20"/>
          <w:szCs w:val="20"/>
        </w:rPr>
        <w:t xml:space="preserve">for </w:t>
      </w:r>
      <w:r w:rsidRPr="00A166B2">
        <w:rPr>
          <w:rFonts w:ascii="Arial" w:hAnsi="Arial" w:cs="Arial"/>
          <w:sz w:val="20"/>
          <w:szCs w:val="20"/>
        </w:rPr>
        <w:t xml:space="preserve">the </w:t>
      </w:r>
      <w:r w:rsidR="000B605C">
        <w:rPr>
          <w:rFonts w:ascii="Arial" w:hAnsi="Arial" w:cs="Arial"/>
          <w:sz w:val="20"/>
          <w:szCs w:val="20"/>
        </w:rPr>
        <w:t xml:space="preserve">most recent calendar </w:t>
      </w:r>
      <w:r w:rsidRPr="00A166B2">
        <w:rPr>
          <w:rFonts w:ascii="Arial" w:hAnsi="Arial" w:cs="Arial"/>
          <w:sz w:val="20"/>
          <w:szCs w:val="20"/>
        </w:rPr>
        <w:t>year</w:t>
      </w:r>
      <w:r w:rsidR="000B605C">
        <w:rPr>
          <w:rFonts w:ascii="Arial" w:hAnsi="Arial" w:cs="Arial"/>
          <w:sz w:val="20"/>
          <w:szCs w:val="20"/>
        </w:rPr>
        <w:t xml:space="preserve"> available</w:t>
      </w:r>
      <w:r w:rsidRPr="00A166B2">
        <w:rPr>
          <w:rFonts w:ascii="Arial" w:hAnsi="Arial" w:cs="Arial"/>
          <w:sz w:val="20"/>
          <w:szCs w:val="20"/>
        </w:rPr>
        <w:t xml:space="preserve">. </w:t>
      </w:r>
    </w:p>
    <w:p w:rsidR="00204120" w:rsidP="00C609FB" w14:paraId="60EACCF6" w14:textId="77777777">
      <w:pPr>
        <w:spacing w:after="0" w:line="252" w:lineRule="auto"/>
        <w:rPr>
          <w:rFonts w:ascii="Arial" w:hAnsi="Arial" w:cs="Arial"/>
          <w:sz w:val="20"/>
          <w:szCs w:val="20"/>
        </w:rPr>
      </w:pPr>
    </w:p>
    <w:tbl>
      <w:tblPr>
        <w:tblStyle w:val="PlainTable20"/>
        <w:tblW w:w="10065" w:type="dxa"/>
        <w:tblBorders>
          <w:top w:val="none" w:sz="0" w:space="0" w:color="auto"/>
          <w:bottom w:val="none" w:sz="0" w:space="0" w:color="auto"/>
        </w:tblBorders>
        <w:tblLayout w:type="fixed"/>
        <w:tblCellMar>
          <w:top w:w="28" w:type="dxa"/>
          <w:bottom w:w="28" w:type="dxa"/>
        </w:tblCellMar>
        <w:tblLook w:val="04A0"/>
      </w:tblPr>
      <w:tblGrid>
        <w:gridCol w:w="2552"/>
        <w:gridCol w:w="1417"/>
        <w:gridCol w:w="1276"/>
        <w:gridCol w:w="4820"/>
      </w:tblGrid>
      <w:tr w14:paraId="422B79FF" w14:textId="77777777" w:rsidTr="00B80858">
        <w:tblPrEx>
          <w:tblW w:w="10065" w:type="dxa"/>
          <w:tblLayout w:type="fixed"/>
          <w:tblLook w:val="04A0"/>
        </w:tblPrEx>
        <w:trPr>
          <w:trHeight w:val="288"/>
          <w:tblHeader/>
        </w:trPr>
        <w:tc>
          <w:tcPr>
            <w:tcW w:w="2552" w:type="dxa"/>
            <w:vMerge w:val="restart"/>
            <w:tcBorders>
              <w:top w:val="single" w:sz="4" w:space="0" w:color="auto"/>
            </w:tcBorders>
            <w:shd w:val="clear" w:color="auto" w:fill="auto"/>
            <w:vAlign w:val="center"/>
          </w:tcPr>
          <w:p w:rsidR="00D959B4" w:rsidRPr="00821792" w:rsidP="00E33687" w14:paraId="2AC5ED35" w14:textId="77777777">
            <w:pPr>
              <w:spacing w:line="252" w:lineRule="auto"/>
              <w:rPr>
                <w:rFonts w:ascii="Arial" w:hAnsi="Arial" w:cs="Arial"/>
                <w:sz w:val="18"/>
                <w:szCs w:val="18"/>
              </w:rPr>
            </w:pPr>
            <w:r w:rsidRPr="00821792">
              <w:rPr>
                <w:rFonts w:ascii="Arial" w:hAnsi="Arial" w:cs="Arial"/>
                <w:sz w:val="18"/>
                <w:szCs w:val="18"/>
              </w:rPr>
              <w:t>Funds</w:t>
            </w:r>
          </w:p>
        </w:tc>
        <w:tc>
          <w:tcPr>
            <w:tcW w:w="2693" w:type="dxa"/>
            <w:gridSpan w:val="2"/>
            <w:tcBorders>
              <w:top w:val="single" w:sz="4" w:space="0" w:color="auto"/>
            </w:tcBorders>
            <w:shd w:val="clear" w:color="auto" w:fill="auto"/>
            <w:vAlign w:val="center"/>
          </w:tcPr>
          <w:p w:rsidR="00D959B4" w:rsidRPr="00821792" w:rsidP="00E33687" w14:paraId="0629DD0E" w14:textId="77777777">
            <w:pPr>
              <w:spacing w:line="252" w:lineRule="auto"/>
              <w:rPr>
                <w:rFonts w:ascii="Arial" w:hAnsi="Arial" w:cs="Arial"/>
                <w:sz w:val="18"/>
                <w:szCs w:val="18"/>
              </w:rPr>
            </w:pPr>
            <w:r w:rsidRPr="00821792">
              <w:rPr>
                <w:rFonts w:ascii="Arial" w:hAnsi="Arial" w:cs="Arial"/>
                <w:sz w:val="18"/>
                <w:szCs w:val="18"/>
              </w:rPr>
              <w:t>Number of engagements</w:t>
            </w:r>
          </w:p>
        </w:tc>
        <w:tc>
          <w:tcPr>
            <w:tcW w:w="4820" w:type="dxa"/>
            <w:vMerge w:val="restart"/>
            <w:tcBorders>
              <w:top w:val="single" w:sz="4" w:space="0" w:color="auto"/>
            </w:tcBorders>
            <w:shd w:val="clear" w:color="auto" w:fill="auto"/>
            <w:vAlign w:val="center"/>
          </w:tcPr>
          <w:p w:rsidR="00D959B4" w:rsidRPr="00821792" w:rsidP="00E33687" w14:paraId="0F120A8D" w14:textId="65089479">
            <w:pPr>
              <w:spacing w:line="252" w:lineRule="auto"/>
              <w:ind w:right="-110"/>
              <w:rPr>
                <w:rFonts w:ascii="Arial" w:hAnsi="Arial" w:cs="Arial"/>
                <w:sz w:val="18"/>
                <w:szCs w:val="18"/>
              </w:rPr>
            </w:pPr>
            <w:r w:rsidRPr="00821792">
              <w:rPr>
                <w:rFonts w:ascii="Arial" w:hAnsi="Arial" w:cs="Arial"/>
                <w:sz w:val="18"/>
                <w:szCs w:val="18"/>
              </w:rPr>
              <w:t>Themes engaged on at a fund</w:t>
            </w:r>
            <w:r>
              <w:rPr>
                <w:rFonts w:ascii="Arial" w:hAnsi="Arial" w:cs="Arial"/>
                <w:sz w:val="18"/>
                <w:szCs w:val="18"/>
              </w:rPr>
              <w:t xml:space="preserve"> </w:t>
            </w:r>
            <w:r w:rsidRPr="00821792">
              <w:rPr>
                <w:rFonts w:ascii="Arial" w:hAnsi="Arial" w:cs="Arial"/>
                <w:sz w:val="18"/>
                <w:szCs w:val="18"/>
              </w:rPr>
              <w:t>level</w:t>
            </w:r>
          </w:p>
        </w:tc>
      </w:tr>
      <w:tr w14:paraId="1D01CC9B" w14:textId="77777777" w:rsidTr="00B80858">
        <w:tblPrEx>
          <w:tblW w:w="10065" w:type="dxa"/>
          <w:tblLayout w:type="fixed"/>
          <w:tblLook w:val="04A0"/>
        </w:tblPrEx>
        <w:trPr>
          <w:trHeight w:val="288"/>
          <w:tblHeader/>
        </w:trPr>
        <w:tc>
          <w:tcPr>
            <w:tcW w:w="2552" w:type="dxa"/>
            <w:vMerge/>
            <w:shd w:val="clear" w:color="auto" w:fill="auto"/>
            <w:vAlign w:val="center"/>
          </w:tcPr>
          <w:p w:rsidR="00D959B4" w:rsidRPr="00821792" w:rsidP="00E33687" w14:paraId="18F3FD03" w14:textId="77777777">
            <w:pPr>
              <w:spacing w:line="252" w:lineRule="auto"/>
              <w:rPr>
                <w:rFonts w:ascii="Arial" w:hAnsi="Arial" w:cs="Arial"/>
                <w:sz w:val="18"/>
                <w:szCs w:val="18"/>
              </w:rPr>
            </w:pPr>
          </w:p>
        </w:tc>
        <w:tc>
          <w:tcPr>
            <w:tcW w:w="1417" w:type="dxa"/>
            <w:shd w:val="clear" w:color="auto" w:fill="auto"/>
            <w:vAlign w:val="center"/>
          </w:tcPr>
          <w:p w:rsidR="00D959B4" w:rsidRPr="00821792" w:rsidP="00E33687" w14:paraId="633E199B" w14:textId="77777777">
            <w:pPr>
              <w:spacing w:line="252" w:lineRule="auto"/>
              <w:rPr>
                <w:rFonts w:ascii="Arial" w:hAnsi="Arial" w:cs="Arial"/>
                <w:sz w:val="18"/>
                <w:szCs w:val="18"/>
              </w:rPr>
            </w:pPr>
            <w:r w:rsidRPr="00821792">
              <w:rPr>
                <w:rFonts w:ascii="Arial" w:hAnsi="Arial" w:cs="Arial"/>
                <w:sz w:val="18"/>
                <w:szCs w:val="18"/>
              </w:rPr>
              <w:t>Fund</w:t>
            </w:r>
            <w:r>
              <w:rPr>
                <w:rFonts w:ascii="Arial" w:hAnsi="Arial" w:cs="Arial"/>
                <w:sz w:val="18"/>
                <w:szCs w:val="18"/>
              </w:rPr>
              <w:t xml:space="preserve"> level</w:t>
            </w:r>
          </w:p>
        </w:tc>
        <w:tc>
          <w:tcPr>
            <w:tcW w:w="1276" w:type="dxa"/>
            <w:shd w:val="clear" w:color="auto" w:fill="auto"/>
            <w:vAlign w:val="center"/>
          </w:tcPr>
          <w:p w:rsidR="00D959B4" w:rsidRPr="00821792" w:rsidP="00E33687" w14:paraId="60692E04" w14:textId="77777777">
            <w:pPr>
              <w:spacing w:line="252" w:lineRule="auto"/>
              <w:rPr>
                <w:rFonts w:ascii="Arial" w:hAnsi="Arial" w:cs="Arial"/>
                <w:sz w:val="18"/>
                <w:szCs w:val="18"/>
              </w:rPr>
            </w:pPr>
            <w:r w:rsidRPr="00821792">
              <w:rPr>
                <w:rFonts w:ascii="Arial" w:hAnsi="Arial" w:cs="Arial"/>
                <w:sz w:val="18"/>
                <w:szCs w:val="18"/>
              </w:rPr>
              <w:t>Firm</w:t>
            </w:r>
            <w:r>
              <w:rPr>
                <w:rFonts w:ascii="Arial" w:hAnsi="Arial" w:cs="Arial"/>
                <w:sz w:val="18"/>
                <w:szCs w:val="18"/>
              </w:rPr>
              <w:t xml:space="preserve"> </w:t>
            </w:r>
            <w:r w:rsidRPr="00821792">
              <w:rPr>
                <w:rFonts w:ascii="Arial" w:hAnsi="Arial" w:cs="Arial"/>
                <w:sz w:val="18"/>
                <w:szCs w:val="18"/>
              </w:rPr>
              <w:t>level</w:t>
            </w:r>
          </w:p>
        </w:tc>
        <w:tc>
          <w:tcPr>
            <w:tcW w:w="4820" w:type="dxa"/>
            <w:vMerge/>
            <w:shd w:val="clear" w:color="auto" w:fill="auto"/>
            <w:vAlign w:val="center"/>
          </w:tcPr>
          <w:p w:rsidR="00D959B4" w:rsidRPr="00821792" w:rsidP="00E33687" w14:paraId="3E174012" w14:textId="77777777">
            <w:pPr>
              <w:spacing w:line="252" w:lineRule="auto"/>
              <w:ind w:right="1470"/>
              <w:rPr>
                <w:rFonts w:ascii="Arial" w:hAnsi="Arial" w:cs="Arial"/>
                <w:sz w:val="18"/>
                <w:szCs w:val="18"/>
              </w:rPr>
            </w:pPr>
          </w:p>
        </w:tc>
      </w:tr>
    </w:tbl>
    <w:p w:rsidR="00481F63" w:rsidRPr="001A059B" w:rsidP="006757B5" w14:paraId="69131685" w14:textId="77777777">
      <w:pPr>
        <w:spacing w:after="0" w:line="252" w:lineRule="auto"/>
        <w:rPr>
          <w:rFonts w:ascii="Arial" w:hAnsi="Arial" w:cs="Arial"/>
          <w:sz w:val="2"/>
          <w:szCs w:val="2"/>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00"/>
        <w:gridCol w:w="1520"/>
        <w:gridCol w:w="1225"/>
        <w:gridCol w:w="4820"/>
      </w:tblGrid>
      <w:tr w14:paraId="34B72096" w14:textId="77777777" w:rsidTr="00EC45CA">
        <w:tblPrEx>
          <w:tblW w:w="10065" w:type="dxa"/>
          <w:tblLayout w:type="fixed"/>
          <w:tblLook w:val="04A0"/>
        </w:tblPrEx>
        <w:trPr>
          <w:trHeight w:val="680"/>
        </w:trPr>
        <w:tc>
          <w:tcPr>
            <w:tcW w:w="2500" w:type="dxa"/>
            <w:tcBorders>
              <w:left w:val="nil"/>
              <w:right w:val="nil"/>
            </w:tcBorders>
            <w:shd w:val="clear" w:color="auto" w:fill="FFFFFF"/>
            <w:vAlign w:val="center"/>
          </w:tcPr>
          <w:p w:rsidR="00D30C86" w:rsidRPr="00B130AF" w:rsidP="00832D40" w14:paraId="1C53DFB5" w14:textId="1534DF6B">
            <w:pPr>
              <w:spacing w:after="0" w:line="252" w:lineRule="auto"/>
              <w:rPr>
                <w:rFonts w:ascii="Arial" w:hAnsi="Arial" w:cs="Arial"/>
                <w:color w:val="000000"/>
                <w:sz w:val="18"/>
                <w:szCs w:val="40"/>
              </w:rPr>
            </w:pPr>
            <w:r w:rsidRPr="005231C6">
              <w:rPr>
                <w:rFonts w:ascii="Arial" w:hAnsi="Arial" w:cs="Arial"/>
                <w:sz w:val="18"/>
                <w:szCs w:val="18"/>
              </w:rPr>
              <w:t>Aberdeen (“</w:t>
            </w:r>
            <w:r>
              <w:rPr>
                <w:rFonts w:ascii="Arial" w:hAnsi="Arial" w:cs="Arial"/>
                <w:sz w:val="18"/>
                <w:szCs w:val="18"/>
              </w:rPr>
              <w:t>A</w:t>
            </w:r>
            <w:r w:rsidRPr="005231C6">
              <w:rPr>
                <w:rFonts w:ascii="Arial" w:hAnsi="Arial" w:cs="Arial"/>
                <w:sz w:val="18"/>
                <w:szCs w:val="18"/>
              </w:rPr>
              <w:t>brdn</w:t>
            </w:r>
            <w:r w:rsidRPr="005231C6">
              <w:rPr>
                <w:rFonts w:ascii="Arial" w:hAnsi="Arial" w:cs="Arial"/>
                <w:sz w:val="18"/>
                <w:szCs w:val="18"/>
              </w:rPr>
              <w:t>”) – Climate Transition Bond Fund</w:t>
            </w:r>
          </w:p>
        </w:tc>
        <w:tc>
          <w:tcPr>
            <w:tcW w:w="1520" w:type="dxa"/>
            <w:tcBorders>
              <w:left w:val="nil"/>
              <w:right w:val="nil"/>
            </w:tcBorders>
            <w:shd w:val="clear" w:color="auto" w:fill="FFFFFF"/>
            <w:vAlign w:val="center"/>
          </w:tcPr>
          <w:p w:rsidR="00D30C86" w:rsidRPr="00B130AF" w:rsidP="009D5F6A" w14:paraId="58B9F21A" w14:textId="77777777">
            <w:pPr>
              <w:spacing w:after="0" w:line="252" w:lineRule="auto"/>
              <w:jc w:val="center"/>
              <w:rPr>
                <w:rFonts w:ascii="Arial" w:hAnsi="Arial" w:cs="Arial"/>
                <w:color w:val="000000"/>
                <w:sz w:val="18"/>
                <w:szCs w:val="40"/>
              </w:rPr>
            </w:pPr>
            <w:r w:rsidRPr="00B130AF">
              <w:rPr>
                <w:rFonts w:ascii="Arial" w:hAnsi="Arial" w:cs="Arial"/>
                <w:color w:val="000000"/>
                <w:sz w:val="18"/>
                <w:szCs w:val="40"/>
              </w:rPr>
              <w:t>104</w:t>
            </w:r>
          </w:p>
        </w:tc>
        <w:tc>
          <w:tcPr>
            <w:tcW w:w="1225" w:type="dxa"/>
            <w:tcBorders>
              <w:left w:val="nil"/>
              <w:right w:val="nil"/>
            </w:tcBorders>
            <w:shd w:val="clear" w:color="auto" w:fill="FFFFFF"/>
            <w:vAlign w:val="center"/>
          </w:tcPr>
          <w:p w:rsidR="00D30C86" w:rsidRPr="00B130AF" w:rsidP="009D5F6A" w14:paraId="7089B6FE" w14:textId="77777777">
            <w:pPr>
              <w:spacing w:after="0" w:line="252" w:lineRule="auto"/>
              <w:jc w:val="center"/>
              <w:rPr>
                <w:rFonts w:ascii="Arial" w:hAnsi="Arial" w:cs="Arial"/>
                <w:color w:val="000000"/>
                <w:sz w:val="18"/>
                <w:szCs w:val="40"/>
              </w:rPr>
            </w:pPr>
            <w:r w:rsidRPr="00B130AF">
              <w:rPr>
                <w:rFonts w:ascii="Arial" w:hAnsi="Arial" w:cs="Arial"/>
                <w:color w:val="000000"/>
                <w:sz w:val="18"/>
                <w:szCs w:val="40"/>
              </w:rPr>
              <w:t>1,868</w:t>
            </w:r>
          </w:p>
        </w:tc>
        <w:tc>
          <w:tcPr>
            <w:tcW w:w="4820" w:type="dxa"/>
            <w:tcBorders>
              <w:left w:val="nil"/>
              <w:right w:val="nil"/>
            </w:tcBorders>
            <w:shd w:val="clear" w:color="auto" w:fill="FFFFFF"/>
            <w:vAlign w:val="center"/>
          </w:tcPr>
          <w:p w:rsidR="00D30C86" w:rsidRPr="00B130AF" w:rsidP="00832D40" w14:paraId="6E3E2F86" w14:textId="483C8768">
            <w:pPr>
              <w:spacing w:after="0" w:line="252" w:lineRule="auto"/>
              <w:rPr>
                <w:rFonts w:ascii="Arial" w:hAnsi="Arial" w:cs="Arial"/>
                <w:color w:val="000000"/>
                <w:sz w:val="18"/>
                <w:szCs w:val="40"/>
              </w:rPr>
            </w:pPr>
            <w:r w:rsidRPr="00B130AF">
              <w:rPr>
                <w:rFonts w:ascii="Arial" w:hAnsi="Arial" w:cs="Arial"/>
                <w:color w:val="000000"/>
                <w:sz w:val="18"/>
                <w:szCs w:val="40"/>
              </w:rPr>
              <w:t>Environment - Other Environment Related;</w:t>
            </w:r>
            <w:r w:rsidR="000170FE">
              <w:rPr>
                <w:rFonts w:ascii="Arial" w:hAnsi="Arial" w:cs="Arial"/>
                <w:color w:val="000000"/>
                <w:sz w:val="18"/>
                <w:szCs w:val="40"/>
              </w:rPr>
              <w:t xml:space="preserve"> </w:t>
            </w:r>
            <w:r w:rsidRPr="00B130AF">
              <w:rPr>
                <w:rFonts w:ascii="Arial" w:hAnsi="Arial" w:cs="Arial"/>
                <w:color w:val="000000"/>
                <w:sz w:val="18"/>
                <w:szCs w:val="40"/>
              </w:rPr>
              <w:t>Climate</w:t>
            </w:r>
          </w:p>
          <w:p w:rsidR="00D30C86" w:rsidRPr="00B130AF" w:rsidP="00832D40" w14:paraId="62B20E41" w14:textId="78682A7A">
            <w:pPr>
              <w:spacing w:after="0" w:line="252" w:lineRule="auto"/>
              <w:rPr>
                <w:rFonts w:ascii="Arial" w:hAnsi="Arial" w:cs="Arial"/>
                <w:color w:val="000000"/>
                <w:sz w:val="18"/>
                <w:szCs w:val="40"/>
              </w:rPr>
            </w:pPr>
            <w:r w:rsidRPr="00B130AF">
              <w:rPr>
                <w:rFonts w:ascii="Arial" w:hAnsi="Arial" w:cs="Arial"/>
                <w:color w:val="000000"/>
                <w:sz w:val="18"/>
                <w:szCs w:val="40"/>
              </w:rPr>
              <w:t>Social - Human Right &amp; Stakeholder</w:t>
            </w:r>
          </w:p>
          <w:p w:rsidR="00D30C86" w:rsidRPr="00B130AF" w:rsidP="00832D40" w14:paraId="63D9C713" w14:textId="77777777">
            <w:pPr>
              <w:spacing w:after="0" w:line="252" w:lineRule="auto"/>
              <w:rPr>
                <w:rFonts w:ascii="Arial" w:hAnsi="Arial" w:cs="Arial"/>
                <w:color w:val="000000"/>
                <w:sz w:val="18"/>
                <w:szCs w:val="40"/>
              </w:rPr>
            </w:pPr>
            <w:r w:rsidRPr="00B130AF">
              <w:rPr>
                <w:rFonts w:ascii="Arial" w:hAnsi="Arial" w:cs="Arial"/>
                <w:color w:val="000000"/>
                <w:sz w:val="18"/>
                <w:szCs w:val="40"/>
              </w:rPr>
              <w:t>Governance - Corporate Governance; Corporate Behaviour</w:t>
            </w:r>
          </w:p>
        </w:tc>
      </w:tr>
      <w:tr w14:paraId="05D096B9" w14:textId="77777777" w:rsidTr="00EC45CA">
        <w:tblPrEx>
          <w:tblW w:w="10065" w:type="dxa"/>
          <w:tblLayout w:type="fixed"/>
          <w:tblLook w:val="04A0"/>
        </w:tblPrEx>
        <w:trPr>
          <w:trHeight w:val="680"/>
        </w:trPr>
        <w:tc>
          <w:tcPr>
            <w:tcW w:w="2500" w:type="dxa"/>
            <w:tcBorders>
              <w:left w:val="nil"/>
              <w:right w:val="nil"/>
            </w:tcBorders>
            <w:shd w:val="clear" w:color="auto" w:fill="FFFFFF"/>
            <w:vAlign w:val="center"/>
          </w:tcPr>
          <w:p w:rsidR="00C55672" w:rsidRPr="00B130AF" w:rsidP="00C55672" w14:paraId="7069D78E" w14:textId="055091A2">
            <w:pPr>
              <w:spacing w:after="0" w:line="252" w:lineRule="auto"/>
              <w:rPr>
                <w:rFonts w:ascii="Arial" w:hAnsi="Arial" w:cs="Arial"/>
                <w:color w:val="000000"/>
                <w:sz w:val="18"/>
                <w:szCs w:val="40"/>
              </w:rPr>
            </w:pPr>
            <w:r w:rsidRPr="00060173">
              <w:rPr>
                <w:rFonts w:ascii="Arial" w:hAnsi="Arial" w:cs="Arial"/>
                <w:sz w:val="18"/>
                <w:szCs w:val="18"/>
              </w:rPr>
              <w:t xml:space="preserve">Aegon Asset Management </w:t>
            </w:r>
            <w:r>
              <w:rPr>
                <w:rFonts w:ascii="Arial" w:hAnsi="Arial" w:cs="Arial"/>
                <w:sz w:val="18"/>
                <w:szCs w:val="18"/>
              </w:rPr>
              <w:t xml:space="preserve">(“Aegon”) </w:t>
            </w:r>
            <w:r w:rsidRPr="00060173">
              <w:rPr>
                <w:rFonts w:ascii="Arial" w:hAnsi="Arial" w:cs="Arial"/>
                <w:sz w:val="18"/>
                <w:szCs w:val="18"/>
              </w:rPr>
              <w:t>– European Asset Backed Securities (</w:t>
            </w:r>
            <w:r w:rsidR="00A37F96">
              <w:rPr>
                <w:rFonts w:ascii="Arial" w:hAnsi="Arial" w:cs="Arial"/>
                <w:sz w:val="18"/>
                <w:szCs w:val="18"/>
              </w:rPr>
              <w:t>“</w:t>
            </w:r>
            <w:r w:rsidRPr="00060173">
              <w:rPr>
                <w:rFonts w:ascii="Arial" w:hAnsi="Arial" w:cs="Arial"/>
                <w:sz w:val="18"/>
                <w:szCs w:val="18"/>
              </w:rPr>
              <w:t>ABS</w:t>
            </w:r>
            <w:r w:rsidR="00A37F96">
              <w:rPr>
                <w:rFonts w:ascii="Arial" w:hAnsi="Arial" w:cs="Arial"/>
                <w:sz w:val="18"/>
                <w:szCs w:val="18"/>
              </w:rPr>
              <w:t>”</w:t>
            </w:r>
            <w:r w:rsidRPr="00060173">
              <w:rPr>
                <w:rFonts w:ascii="Arial" w:hAnsi="Arial" w:cs="Arial"/>
                <w:sz w:val="18"/>
                <w:szCs w:val="18"/>
              </w:rPr>
              <w:t>) Fund</w:t>
            </w:r>
          </w:p>
        </w:tc>
        <w:tc>
          <w:tcPr>
            <w:tcW w:w="1520" w:type="dxa"/>
            <w:tcBorders>
              <w:left w:val="nil"/>
              <w:right w:val="nil"/>
            </w:tcBorders>
            <w:shd w:val="clear" w:color="auto" w:fill="FFFFFF"/>
            <w:vAlign w:val="center"/>
          </w:tcPr>
          <w:p w:rsidR="00C55672" w:rsidRPr="00B130AF" w:rsidP="009D5F6A" w14:paraId="277F6437" w14:textId="4B1F4DE8">
            <w:pPr>
              <w:spacing w:after="0" w:line="252" w:lineRule="auto"/>
              <w:jc w:val="center"/>
              <w:rPr>
                <w:rFonts w:ascii="Arial" w:hAnsi="Arial" w:cs="Arial"/>
                <w:color w:val="000000"/>
                <w:sz w:val="18"/>
                <w:szCs w:val="40"/>
              </w:rPr>
            </w:pPr>
            <w:r w:rsidRPr="00B130AF">
              <w:rPr>
                <w:rFonts w:ascii="Arial" w:hAnsi="Arial" w:cs="Arial"/>
                <w:color w:val="000000"/>
                <w:sz w:val="18"/>
                <w:szCs w:val="40"/>
              </w:rPr>
              <w:t>115</w:t>
            </w:r>
          </w:p>
        </w:tc>
        <w:tc>
          <w:tcPr>
            <w:tcW w:w="1225" w:type="dxa"/>
            <w:tcBorders>
              <w:left w:val="nil"/>
              <w:right w:val="nil"/>
            </w:tcBorders>
            <w:shd w:val="clear" w:color="auto" w:fill="FFFFFF"/>
            <w:vAlign w:val="center"/>
          </w:tcPr>
          <w:p w:rsidR="00C55672" w:rsidRPr="00B130AF" w:rsidP="009D5F6A" w14:paraId="5D344EBF" w14:textId="0AFC9028">
            <w:pPr>
              <w:spacing w:after="0" w:line="252" w:lineRule="auto"/>
              <w:jc w:val="center"/>
              <w:rPr>
                <w:rFonts w:ascii="Arial" w:hAnsi="Arial" w:cs="Arial"/>
                <w:color w:val="000000"/>
                <w:sz w:val="18"/>
                <w:szCs w:val="40"/>
              </w:rPr>
            </w:pPr>
            <w:r>
              <w:rPr>
                <w:rFonts w:ascii="Arial" w:hAnsi="Arial" w:cs="Arial"/>
                <w:color w:val="000000"/>
                <w:sz w:val="18"/>
                <w:szCs w:val="40"/>
              </w:rPr>
              <w:t>422</w:t>
            </w:r>
          </w:p>
        </w:tc>
        <w:tc>
          <w:tcPr>
            <w:tcW w:w="4820" w:type="dxa"/>
            <w:tcBorders>
              <w:left w:val="nil"/>
              <w:right w:val="nil"/>
            </w:tcBorders>
            <w:shd w:val="clear" w:color="auto" w:fill="FFFFFF"/>
            <w:vAlign w:val="center"/>
          </w:tcPr>
          <w:p w:rsidR="00C55672" w:rsidP="00C55672" w14:paraId="2912CDDD" w14:textId="77777777">
            <w:pPr>
              <w:spacing w:after="0" w:line="252" w:lineRule="auto"/>
              <w:rPr>
                <w:rFonts w:ascii="Arial" w:hAnsi="Arial" w:cs="Arial"/>
                <w:color w:val="000000"/>
                <w:sz w:val="18"/>
                <w:szCs w:val="40"/>
              </w:rPr>
            </w:pPr>
            <w:r w:rsidRPr="00B130AF">
              <w:rPr>
                <w:rFonts w:ascii="Arial" w:hAnsi="Arial" w:cs="Arial"/>
                <w:color w:val="000000"/>
                <w:sz w:val="18"/>
                <w:szCs w:val="40"/>
              </w:rPr>
              <w:t>Environment - Climate Change</w:t>
            </w:r>
          </w:p>
          <w:p w:rsidR="00C55672" w:rsidRPr="00B130AF" w:rsidP="00C55672" w14:paraId="5170686F" w14:textId="55237AD8">
            <w:pPr>
              <w:spacing w:after="0" w:line="252" w:lineRule="auto"/>
              <w:rPr>
                <w:rFonts w:ascii="Arial" w:hAnsi="Arial" w:cs="Arial"/>
                <w:color w:val="000000"/>
                <w:sz w:val="18"/>
                <w:szCs w:val="40"/>
              </w:rPr>
            </w:pPr>
            <w:r w:rsidRPr="00B130AF">
              <w:rPr>
                <w:rFonts w:ascii="Arial" w:hAnsi="Arial" w:cs="Arial"/>
                <w:color w:val="000000"/>
                <w:sz w:val="18"/>
                <w:szCs w:val="40"/>
              </w:rPr>
              <w:t>Social - Human and Labour Rights</w:t>
            </w:r>
            <w:r>
              <w:rPr>
                <w:rFonts w:ascii="Arial" w:hAnsi="Arial" w:cs="Arial"/>
                <w:color w:val="000000"/>
                <w:sz w:val="18"/>
                <w:szCs w:val="40"/>
              </w:rPr>
              <w:t>;</w:t>
            </w:r>
            <w:r w:rsidR="000170FE">
              <w:rPr>
                <w:rFonts w:ascii="Arial" w:hAnsi="Arial" w:cs="Arial"/>
                <w:color w:val="000000"/>
                <w:sz w:val="18"/>
                <w:szCs w:val="40"/>
              </w:rPr>
              <w:t xml:space="preserve"> </w:t>
            </w:r>
            <w:r>
              <w:rPr>
                <w:rFonts w:ascii="Arial" w:hAnsi="Arial" w:cs="Arial"/>
                <w:color w:val="000000"/>
                <w:sz w:val="18"/>
                <w:szCs w:val="40"/>
              </w:rPr>
              <w:t>Public Health</w:t>
            </w:r>
          </w:p>
          <w:p w:rsidR="00C55672" w:rsidRPr="00B130AF" w:rsidP="00C55672" w14:paraId="6063394C" w14:textId="74131B90">
            <w:pPr>
              <w:spacing w:after="0" w:line="252" w:lineRule="auto"/>
              <w:rPr>
                <w:rFonts w:ascii="Arial" w:hAnsi="Arial" w:cs="Arial"/>
                <w:color w:val="000000"/>
                <w:sz w:val="18"/>
                <w:szCs w:val="40"/>
              </w:rPr>
            </w:pPr>
            <w:r w:rsidRPr="00B130AF">
              <w:rPr>
                <w:rFonts w:ascii="Arial" w:hAnsi="Arial" w:cs="Arial"/>
                <w:color w:val="000000"/>
                <w:sz w:val="18"/>
                <w:szCs w:val="40"/>
              </w:rPr>
              <w:t>Other - General Disclosure</w:t>
            </w:r>
          </w:p>
          <w:p w:rsidR="00C55672" w:rsidRPr="00B130AF" w:rsidP="00C55672" w14:paraId="56FB67F9" w14:textId="4D2C970C">
            <w:pPr>
              <w:spacing w:after="0" w:line="252" w:lineRule="auto"/>
              <w:rPr>
                <w:rFonts w:ascii="Arial" w:hAnsi="Arial" w:cs="Arial"/>
                <w:color w:val="000000"/>
                <w:sz w:val="18"/>
                <w:szCs w:val="40"/>
              </w:rPr>
            </w:pPr>
            <w:r w:rsidRPr="00B130AF">
              <w:rPr>
                <w:rFonts w:ascii="Arial" w:hAnsi="Arial" w:cs="Arial"/>
                <w:color w:val="000000"/>
                <w:sz w:val="18"/>
                <w:szCs w:val="40"/>
              </w:rPr>
              <w:t>Governance - Leadership - Chair/CEO;</w:t>
            </w:r>
            <w:r w:rsidR="000170FE">
              <w:rPr>
                <w:rFonts w:ascii="Arial" w:hAnsi="Arial" w:cs="Arial"/>
                <w:color w:val="000000"/>
                <w:sz w:val="18"/>
                <w:szCs w:val="40"/>
              </w:rPr>
              <w:t xml:space="preserve"> </w:t>
            </w:r>
            <w:r w:rsidRPr="00B130AF">
              <w:rPr>
                <w:rFonts w:ascii="Arial" w:hAnsi="Arial" w:cs="Arial"/>
                <w:color w:val="000000"/>
                <w:sz w:val="18"/>
                <w:szCs w:val="40"/>
              </w:rPr>
              <w:t>Remuneration</w:t>
            </w:r>
            <w:r>
              <w:rPr>
                <w:rFonts w:ascii="Arial" w:hAnsi="Arial" w:cs="Arial"/>
                <w:color w:val="000000"/>
                <w:sz w:val="18"/>
                <w:szCs w:val="40"/>
              </w:rPr>
              <w:t xml:space="preserve"> </w:t>
            </w:r>
          </w:p>
        </w:tc>
      </w:tr>
      <w:tr w14:paraId="0522AEC1" w14:textId="77777777" w:rsidTr="00EC45CA">
        <w:tblPrEx>
          <w:tblW w:w="10065" w:type="dxa"/>
          <w:tblLayout w:type="fixed"/>
          <w:tblLook w:val="04A0"/>
        </w:tblPrEx>
        <w:trPr>
          <w:trHeight w:val="680"/>
        </w:trPr>
        <w:tc>
          <w:tcPr>
            <w:tcW w:w="2500" w:type="dxa"/>
            <w:tcBorders>
              <w:left w:val="nil"/>
              <w:right w:val="nil"/>
            </w:tcBorders>
            <w:shd w:val="clear" w:color="auto" w:fill="FFFFFF"/>
            <w:vAlign w:val="center"/>
          </w:tcPr>
          <w:p w:rsidR="00D30C86" w:rsidRPr="00B130AF" w:rsidP="00832D40" w14:paraId="2E32F3D3" w14:textId="3AED1E8C">
            <w:pPr>
              <w:spacing w:after="0" w:line="252" w:lineRule="auto"/>
              <w:rPr>
                <w:rFonts w:ascii="Arial" w:hAnsi="Arial" w:cs="Arial"/>
                <w:color w:val="000000"/>
                <w:sz w:val="18"/>
                <w:szCs w:val="40"/>
              </w:rPr>
            </w:pPr>
            <w:r w:rsidRPr="00934544">
              <w:rPr>
                <w:rFonts w:ascii="Arial" w:hAnsi="Arial" w:cs="Arial"/>
                <w:sz w:val="18"/>
                <w:szCs w:val="18"/>
              </w:rPr>
              <w:t>LGIM – Multi-Factor Equity Fund</w:t>
            </w:r>
          </w:p>
        </w:tc>
        <w:tc>
          <w:tcPr>
            <w:tcW w:w="1520" w:type="dxa"/>
            <w:tcBorders>
              <w:left w:val="nil"/>
              <w:right w:val="nil"/>
            </w:tcBorders>
            <w:shd w:val="clear" w:color="auto" w:fill="FFFFFF"/>
            <w:vAlign w:val="center"/>
          </w:tcPr>
          <w:p w:rsidR="00D30C86" w:rsidRPr="00B130AF" w:rsidP="009D5F6A" w14:paraId="73C0BD77" w14:textId="77777777">
            <w:pPr>
              <w:spacing w:after="0" w:line="252" w:lineRule="auto"/>
              <w:jc w:val="center"/>
              <w:rPr>
                <w:rFonts w:ascii="Arial" w:hAnsi="Arial" w:cs="Arial"/>
                <w:color w:val="000000"/>
                <w:sz w:val="18"/>
                <w:szCs w:val="40"/>
              </w:rPr>
            </w:pPr>
            <w:r w:rsidRPr="00B130AF">
              <w:rPr>
                <w:rFonts w:ascii="Arial" w:hAnsi="Arial" w:cs="Arial"/>
                <w:color w:val="000000"/>
                <w:sz w:val="18"/>
                <w:szCs w:val="40"/>
              </w:rPr>
              <w:t>682</w:t>
            </w:r>
          </w:p>
        </w:tc>
        <w:tc>
          <w:tcPr>
            <w:tcW w:w="1225" w:type="dxa"/>
            <w:tcBorders>
              <w:left w:val="nil"/>
              <w:right w:val="nil"/>
            </w:tcBorders>
            <w:shd w:val="clear" w:color="auto" w:fill="FFFFFF"/>
            <w:vAlign w:val="center"/>
          </w:tcPr>
          <w:p w:rsidR="00D30C86" w:rsidRPr="000F2022" w:rsidP="009D5F6A" w14:paraId="443179F0" w14:textId="77777777">
            <w:pPr>
              <w:spacing w:after="0" w:line="252" w:lineRule="auto"/>
              <w:jc w:val="center"/>
              <w:rPr>
                <w:rFonts w:ascii="Arial" w:hAnsi="Arial" w:cs="Arial"/>
                <w:i/>
                <w:iCs/>
                <w:color w:val="000000"/>
                <w:sz w:val="18"/>
                <w:szCs w:val="40"/>
              </w:rPr>
            </w:pPr>
            <w:r w:rsidRPr="000F2022">
              <w:rPr>
                <w:rFonts w:ascii="Arial" w:hAnsi="Arial" w:cs="Arial"/>
                <w:i/>
                <w:iCs/>
                <w:color w:val="000000"/>
                <w:sz w:val="18"/>
                <w:szCs w:val="40"/>
              </w:rPr>
              <w:t>Not provided</w:t>
            </w:r>
          </w:p>
        </w:tc>
        <w:tc>
          <w:tcPr>
            <w:tcW w:w="4820" w:type="dxa"/>
            <w:tcBorders>
              <w:left w:val="nil"/>
              <w:right w:val="nil"/>
            </w:tcBorders>
            <w:shd w:val="clear" w:color="auto" w:fill="FFFFFF"/>
            <w:vAlign w:val="center"/>
          </w:tcPr>
          <w:p w:rsidR="00D30C86" w:rsidRPr="00B130AF" w:rsidP="00832D40" w14:paraId="391FC1D5" w14:textId="77777777">
            <w:pPr>
              <w:spacing w:after="0" w:line="252" w:lineRule="auto"/>
              <w:rPr>
                <w:rFonts w:ascii="Arial" w:hAnsi="Arial" w:cs="Arial"/>
                <w:color w:val="000000"/>
                <w:sz w:val="18"/>
                <w:szCs w:val="40"/>
              </w:rPr>
            </w:pPr>
            <w:r w:rsidRPr="00B130AF">
              <w:rPr>
                <w:rFonts w:ascii="Arial" w:hAnsi="Arial" w:cs="Arial"/>
                <w:color w:val="000000"/>
                <w:sz w:val="18"/>
                <w:szCs w:val="40"/>
              </w:rPr>
              <w:t>Environment - Climate Impact Pledge</w:t>
            </w:r>
          </w:p>
          <w:p w:rsidR="00D30C86" w:rsidRPr="00B130AF" w:rsidP="00832D40" w14:paraId="125BD376" w14:textId="77777777">
            <w:pPr>
              <w:spacing w:after="0" w:line="252" w:lineRule="auto"/>
              <w:rPr>
                <w:rFonts w:ascii="Arial" w:hAnsi="Arial" w:cs="Arial"/>
                <w:color w:val="000000"/>
                <w:sz w:val="18"/>
                <w:szCs w:val="40"/>
              </w:rPr>
            </w:pPr>
            <w:r w:rsidRPr="00B130AF">
              <w:rPr>
                <w:rFonts w:ascii="Arial" w:hAnsi="Arial" w:cs="Arial"/>
                <w:color w:val="000000"/>
                <w:sz w:val="18"/>
                <w:szCs w:val="40"/>
              </w:rPr>
              <w:t>Social - Human Rights</w:t>
            </w:r>
          </w:p>
          <w:p w:rsidR="00D30C86" w:rsidRPr="00B130AF" w:rsidP="00832D40" w14:paraId="67CC097E" w14:textId="42AB7463">
            <w:pPr>
              <w:spacing w:after="0" w:line="252" w:lineRule="auto"/>
              <w:rPr>
                <w:rFonts w:ascii="Arial" w:hAnsi="Arial" w:cs="Arial"/>
                <w:color w:val="000000"/>
                <w:sz w:val="18"/>
                <w:szCs w:val="40"/>
              </w:rPr>
            </w:pPr>
            <w:r w:rsidRPr="00B130AF">
              <w:rPr>
                <w:rFonts w:ascii="Arial" w:hAnsi="Arial" w:cs="Arial"/>
                <w:color w:val="000000"/>
                <w:sz w:val="18"/>
                <w:szCs w:val="40"/>
              </w:rPr>
              <w:t>Governance - Capital Management;</w:t>
            </w:r>
            <w:r w:rsidR="000170FE">
              <w:rPr>
                <w:rFonts w:ascii="Arial" w:hAnsi="Arial" w:cs="Arial"/>
                <w:color w:val="000000"/>
                <w:sz w:val="18"/>
                <w:szCs w:val="40"/>
              </w:rPr>
              <w:t xml:space="preserve"> </w:t>
            </w:r>
            <w:r w:rsidRPr="00B130AF">
              <w:rPr>
                <w:rFonts w:ascii="Arial" w:hAnsi="Arial" w:cs="Arial"/>
                <w:color w:val="000000"/>
                <w:sz w:val="18"/>
                <w:szCs w:val="40"/>
              </w:rPr>
              <w:t>Remuneration</w:t>
            </w:r>
          </w:p>
          <w:p w:rsidR="00D30C86" w:rsidRPr="00B130AF" w:rsidP="00832D40" w14:paraId="19950662" w14:textId="77777777">
            <w:pPr>
              <w:spacing w:after="0" w:line="252" w:lineRule="auto"/>
              <w:rPr>
                <w:rFonts w:ascii="Arial" w:hAnsi="Arial" w:cs="Arial"/>
                <w:color w:val="000000"/>
                <w:sz w:val="18"/>
                <w:szCs w:val="40"/>
              </w:rPr>
            </w:pPr>
            <w:r w:rsidRPr="00B130AF">
              <w:rPr>
                <w:rFonts w:ascii="Arial" w:hAnsi="Arial" w:cs="Arial"/>
                <w:color w:val="000000"/>
                <w:sz w:val="18"/>
                <w:szCs w:val="40"/>
              </w:rPr>
              <w:t>Other - Corporate Strategy</w:t>
            </w:r>
          </w:p>
        </w:tc>
      </w:tr>
      <w:tr w14:paraId="4ACABD98" w14:textId="77777777" w:rsidTr="00EC45CA">
        <w:tblPrEx>
          <w:tblW w:w="10065" w:type="dxa"/>
          <w:tblLayout w:type="fixed"/>
          <w:tblLook w:val="04A0"/>
        </w:tblPrEx>
        <w:trPr>
          <w:trHeight w:val="680"/>
        </w:trPr>
        <w:tc>
          <w:tcPr>
            <w:tcW w:w="2500" w:type="dxa"/>
            <w:tcBorders>
              <w:left w:val="nil"/>
              <w:right w:val="nil"/>
            </w:tcBorders>
            <w:shd w:val="clear" w:color="auto" w:fill="FFFFFF"/>
            <w:vAlign w:val="center"/>
          </w:tcPr>
          <w:p w:rsidR="00D30C86" w:rsidRPr="00B130AF" w:rsidP="00832D40" w14:paraId="1E96CABA" w14:textId="7CDCA5F1">
            <w:pPr>
              <w:spacing w:after="0" w:line="252" w:lineRule="auto"/>
              <w:rPr>
                <w:rFonts w:ascii="Arial" w:hAnsi="Arial" w:cs="Arial"/>
                <w:color w:val="000000"/>
                <w:sz w:val="18"/>
                <w:szCs w:val="40"/>
              </w:rPr>
            </w:pPr>
            <w:r w:rsidRPr="00060173">
              <w:rPr>
                <w:rFonts w:ascii="Arial" w:hAnsi="Arial" w:cs="Arial"/>
                <w:sz w:val="18"/>
                <w:szCs w:val="18"/>
              </w:rPr>
              <w:t>Robeco</w:t>
            </w:r>
            <w:r w:rsidRPr="00060173">
              <w:rPr>
                <w:rFonts w:ascii="Arial" w:hAnsi="Arial" w:cs="Arial"/>
                <w:sz w:val="18"/>
                <w:szCs w:val="18"/>
              </w:rPr>
              <w:t xml:space="preserve"> – S</w:t>
            </w:r>
            <w:r w:rsidR="003645E5">
              <w:rPr>
                <w:rFonts w:ascii="Arial" w:hAnsi="Arial" w:cs="Arial"/>
                <w:sz w:val="18"/>
                <w:szCs w:val="18"/>
              </w:rPr>
              <w:t xml:space="preserve">ustainable </w:t>
            </w:r>
            <w:r w:rsidRPr="00060173">
              <w:rPr>
                <w:rFonts w:ascii="Arial" w:hAnsi="Arial" w:cs="Arial"/>
                <w:sz w:val="18"/>
                <w:szCs w:val="18"/>
              </w:rPr>
              <w:t>D</w:t>
            </w:r>
            <w:r w:rsidR="003645E5">
              <w:rPr>
                <w:rFonts w:ascii="Arial" w:hAnsi="Arial" w:cs="Arial"/>
                <w:sz w:val="18"/>
                <w:szCs w:val="18"/>
              </w:rPr>
              <w:t xml:space="preserve">evelopment </w:t>
            </w:r>
            <w:r w:rsidRPr="00060173">
              <w:rPr>
                <w:rFonts w:ascii="Arial" w:hAnsi="Arial" w:cs="Arial"/>
                <w:sz w:val="18"/>
                <w:szCs w:val="18"/>
              </w:rPr>
              <w:t>G</w:t>
            </w:r>
            <w:r w:rsidR="003645E5">
              <w:rPr>
                <w:rFonts w:ascii="Arial" w:hAnsi="Arial" w:cs="Arial"/>
                <w:sz w:val="18"/>
                <w:szCs w:val="18"/>
              </w:rPr>
              <w:t>oal (“SDG”)</w:t>
            </w:r>
            <w:r w:rsidRPr="00060173">
              <w:rPr>
                <w:rFonts w:ascii="Arial" w:hAnsi="Arial" w:cs="Arial"/>
                <w:sz w:val="18"/>
                <w:szCs w:val="18"/>
              </w:rPr>
              <w:t xml:space="preserve"> Credit Income Fund</w:t>
            </w:r>
          </w:p>
        </w:tc>
        <w:tc>
          <w:tcPr>
            <w:tcW w:w="1520" w:type="dxa"/>
            <w:tcBorders>
              <w:left w:val="nil"/>
              <w:right w:val="nil"/>
            </w:tcBorders>
            <w:shd w:val="clear" w:color="auto" w:fill="FFFFFF"/>
            <w:vAlign w:val="center"/>
          </w:tcPr>
          <w:p w:rsidR="00D30C86" w:rsidRPr="00B130AF" w:rsidP="009D5F6A" w14:paraId="19EC0648" w14:textId="77777777">
            <w:pPr>
              <w:spacing w:after="0" w:line="252" w:lineRule="auto"/>
              <w:jc w:val="center"/>
              <w:rPr>
                <w:rFonts w:ascii="Arial" w:hAnsi="Arial" w:cs="Arial"/>
                <w:color w:val="000000"/>
                <w:sz w:val="18"/>
                <w:szCs w:val="40"/>
              </w:rPr>
            </w:pPr>
            <w:r w:rsidRPr="00B130AF">
              <w:rPr>
                <w:rFonts w:ascii="Arial" w:hAnsi="Arial" w:cs="Arial"/>
                <w:color w:val="000000"/>
                <w:sz w:val="18"/>
                <w:szCs w:val="40"/>
              </w:rPr>
              <w:t>12</w:t>
            </w:r>
          </w:p>
        </w:tc>
        <w:tc>
          <w:tcPr>
            <w:tcW w:w="1225" w:type="dxa"/>
            <w:tcBorders>
              <w:left w:val="nil"/>
              <w:right w:val="nil"/>
            </w:tcBorders>
            <w:shd w:val="clear" w:color="auto" w:fill="FFFFFF"/>
            <w:vAlign w:val="center"/>
          </w:tcPr>
          <w:p w:rsidR="00D30C86" w:rsidRPr="00B130AF" w:rsidP="009D5F6A" w14:paraId="0EB9C14A" w14:textId="77777777">
            <w:pPr>
              <w:spacing w:after="0" w:line="252" w:lineRule="auto"/>
              <w:jc w:val="center"/>
              <w:rPr>
                <w:rFonts w:ascii="Arial" w:hAnsi="Arial" w:cs="Arial"/>
                <w:color w:val="000000"/>
                <w:sz w:val="18"/>
                <w:szCs w:val="40"/>
              </w:rPr>
            </w:pPr>
            <w:r w:rsidRPr="00B130AF">
              <w:rPr>
                <w:rFonts w:ascii="Arial" w:hAnsi="Arial" w:cs="Arial"/>
                <w:color w:val="000000"/>
                <w:sz w:val="18"/>
                <w:szCs w:val="40"/>
              </w:rPr>
              <w:t>324</w:t>
            </w:r>
          </w:p>
        </w:tc>
        <w:tc>
          <w:tcPr>
            <w:tcW w:w="4820" w:type="dxa"/>
            <w:tcBorders>
              <w:left w:val="nil"/>
              <w:right w:val="nil"/>
            </w:tcBorders>
            <w:shd w:val="clear" w:color="auto" w:fill="FFFFFF"/>
            <w:vAlign w:val="center"/>
          </w:tcPr>
          <w:p w:rsidR="00D30C86" w:rsidRPr="00B130AF" w:rsidP="00832D40" w14:paraId="0738F227" w14:textId="77777777">
            <w:pPr>
              <w:spacing w:after="0" w:line="252" w:lineRule="auto"/>
              <w:rPr>
                <w:rFonts w:ascii="Arial" w:hAnsi="Arial" w:cs="Arial"/>
                <w:color w:val="000000"/>
                <w:sz w:val="18"/>
                <w:szCs w:val="40"/>
              </w:rPr>
            </w:pPr>
            <w:r w:rsidRPr="00B130AF">
              <w:rPr>
                <w:rFonts w:ascii="Arial" w:hAnsi="Arial" w:cs="Arial"/>
                <w:color w:val="000000"/>
                <w:sz w:val="18"/>
                <w:szCs w:val="40"/>
              </w:rPr>
              <w:t>Environment - Climate Change</w:t>
            </w:r>
          </w:p>
          <w:p w:rsidR="00D30C86" w:rsidRPr="00B130AF" w:rsidP="00832D40" w14:paraId="2EAE7379" w14:textId="77777777">
            <w:pPr>
              <w:spacing w:after="0" w:line="252" w:lineRule="auto"/>
              <w:rPr>
                <w:rFonts w:ascii="Arial" w:hAnsi="Arial" w:cs="Arial"/>
                <w:color w:val="000000"/>
                <w:sz w:val="18"/>
                <w:szCs w:val="40"/>
              </w:rPr>
            </w:pPr>
            <w:r w:rsidRPr="00B130AF">
              <w:rPr>
                <w:rFonts w:ascii="Arial" w:hAnsi="Arial" w:cs="Arial"/>
                <w:color w:val="000000"/>
                <w:sz w:val="18"/>
                <w:szCs w:val="40"/>
              </w:rPr>
              <w:t>Social - Human and Labour Rights</w:t>
            </w:r>
          </w:p>
          <w:p w:rsidR="00822BE8" w:rsidP="00832D40" w14:paraId="1409AE60" w14:textId="77777777">
            <w:pPr>
              <w:spacing w:after="0" w:line="252" w:lineRule="auto"/>
              <w:rPr>
                <w:rFonts w:ascii="Arial" w:hAnsi="Arial" w:cs="Arial"/>
                <w:color w:val="000000"/>
                <w:sz w:val="18"/>
                <w:szCs w:val="40"/>
              </w:rPr>
            </w:pPr>
            <w:r w:rsidRPr="00B130AF">
              <w:rPr>
                <w:rFonts w:ascii="Arial" w:hAnsi="Arial" w:cs="Arial"/>
                <w:color w:val="000000"/>
                <w:sz w:val="18"/>
                <w:szCs w:val="40"/>
              </w:rPr>
              <w:t xml:space="preserve">Governance - Shareholder </w:t>
            </w:r>
            <w:r w:rsidRPr="00B130AF">
              <w:rPr>
                <w:rFonts w:ascii="Arial" w:hAnsi="Arial" w:cs="Arial"/>
                <w:color w:val="000000"/>
                <w:sz w:val="18"/>
                <w:szCs w:val="40"/>
              </w:rPr>
              <w:t>Rights;</w:t>
            </w:r>
            <w:r w:rsidRPr="00B130AF">
              <w:rPr>
                <w:rFonts w:ascii="Arial" w:hAnsi="Arial" w:cs="Arial"/>
                <w:color w:val="000000"/>
                <w:sz w:val="18"/>
                <w:szCs w:val="40"/>
              </w:rPr>
              <w:t xml:space="preserve"> </w:t>
            </w:r>
          </w:p>
          <w:p w:rsidR="00D30C86" w:rsidRPr="00B130AF" w:rsidP="00832D40" w14:paraId="7590B05C" w14:textId="605DE36E">
            <w:pPr>
              <w:spacing w:after="0" w:line="252" w:lineRule="auto"/>
              <w:rPr>
                <w:rFonts w:ascii="Arial" w:hAnsi="Arial" w:cs="Arial"/>
                <w:color w:val="000000"/>
                <w:sz w:val="18"/>
                <w:szCs w:val="40"/>
              </w:rPr>
            </w:pPr>
            <w:r w:rsidRPr="00452716">
              <w:rPr>
                <w:rFonts w:ascii="Arial" w:hAnsi="Arial" w:cs="Arial"/>
                <w:color w:val="000000"/>
                <w:sz w:val="18"/>
                <w:szCs w:val="40"/>
              </w:rPr>
              <w:t>Board</w:t>
            </w:r>
            <w:r>
              <w:rPr>
                <w:rFonts w:ascii="Arial" w:hAnsi="Arial" w:cs="Arial"/>
                <w:color w:val="000000"/>
                <w:sz w:val="18"/>
                <w:szCs w:val="40"/>
              </w:rPr>
              <w:t xml:space="preserve"> </w:t>
            </w:r>
            <w:r w:rsidRPr="00452716">
              <w:rPr>
                <w:rFonts w:ascii="Arial" w:hAnsi="Arial" w:cs="Arial"/>
                <w:color w:val="000000"/>
                <w:sz w:val="18"/>
                <w:szCs w:val="40"/>
              </w:rPr>
              <w:t>effectiveness</w:t>
            </w:r>
            <w:r w:rsidRPr="00452716">
              <w:rPr>
                <w:rFonts w:ascii="Arial" w:hAnsi="Arial" w:cs="Arial"/>
                <w:color w:val="000000"/>
                <w:sz w:val="18"/>
                <w:szCs w:val="40"/>
              </w:rPr>
              <w:t xml:space="preserve"> </w:t>
            </w:r>
            <w:r w:rsidRPr="00B130AF" w:rsidR="00185754">
              <w:rPr>
                <w:rFonts w:ascii="Arial" w:hAnsi="Arial" w:cs="Arial"/>
                <w:color w:val="000000"/>
                <w:sz w:val="18"/>
                <w:szCs w:val="40"/>
              </w:rPr>
              <w:t>- Other</w:t>
            </w:r>
          </w:p>
        </w:tc>
      </w:tr>
      <w:tr w14:paraId="06189476" w14:textId="77777777" w:rsidTr="00EC45CA">
        <w:tblPrEx>
          <w:tblW w:w="10065" w:type="dxa"/>
          <w:tblLayout w:type="fixed"/>
          <w:tblLook w:val="04A0"/>
        </w:tblPrEx>
        <w:trPr>
          <w:trHeight w:val="680"/>
        </w:trPr>
        <w:tc>
          <w:tcPr>
            <w:tcW w:w="2500" w:type="dxa"/>
            <w:tcBorders>
              <w:left w:val="nil"/>
              <w:right w:val="nil"/>
            </w:tcBorders>
            <w:shd w:val="clear" w:color="auto" w:fill="FFFFFF"/>
            <w:vAlign w:val="center"/>
          </w:tcPr>
          <w:p w:rsidR="00D30C86" w:rsidRPr="00B130AF" w:rsidP="00832D40" w14:paraId="5ED859F1" w14:textId="7274A414">
            <w:pPr>
              <w:spacing w:after="0" w:line="252" w:lineRule="auto"/>
              <w:rPr>
                <w:rFonts w:ascii="Arial" w:hAnsi="Arial" w:cs="Arial"/>
                <w:color w:val="000000"/>
                <w:sz w:val="18"/>
                <w:szCs w:val="40"/>
              </w:rPr>
            </w:pPr>
            <w:r w:rsidRPr="00B130AF">
              <w:rPr>
                <w:rFonts w:ascii="Arial" w:eastAsia="Arial" w:hAnsi="Arial" w:cs="Arial"/>
                <w:color w:val="000000"/>
                <w:sz w:val="18"/>
                <w:szCs w:val="40"/>
              </w:rPr>
              <w:t xml:space="preserve">UBS </w:t>
            </w:r>
            <w:r>
              <w:rPr>
                <w:rFonts w:ascii="Arial" w:eastAsia="Arial" w:hAnsi="Arial" w:cs="Arial"/>
                <w:color w:val="000000"/>
                <w:sz w:val="18"/>
                <w:szCs w:val="40"/>
              </w:rPr>
              <w:t xml:space="preserve">- </w:t>
            </w:r>
            <w:r w:rsidRPr="00F8171A">
              <w:rPr>
                <w:rFonts w:ascii="Arial" w:eastAsia="Arial" w:hAnsi="Arial" w:cs="Arial"/>
                <w:color w:val="000000"/>
                <w:sz w:val="18"/>
                <w:szCs w:val="40"/>
              </w:rPr>
              <w:t>Global</w:t>
            </w:r>
            <w:r>
              <w:rPr>
                <w:rFonts w:ascii="Arial" w:eastAsia="Arial" w:hAnsi="Arial" w:cs="Arial"/>
                <w:color w:val="000000"/>
                <w:sz w:val="18"/>
                <w:szCs w:val="40"/>
              </w:rPr>
              <w:t xml:space="preserve"> </w:t>
            </w:r>
            <w:r w:rsidRPr="00F8171A">
              <w:rPr>
                <w:rFonts w:ascii="Arial" w:eastAsia="Arial" w:hAnsi="Arial" w:cs="Arial"/>
                <w:color w:val="000000"/>
                <w:sz w:val="18"/>
                <w:szCs w:val="40"/>
              </w:rPr>
              <w:t xml:space="preserve">Equity Climate Transition </w:t>
            </w:r>
            <w:r>
              <w:rPr>
                <w:rFonts w:ascii="Arial" w:eastAsia="Arial" w:hAnsi="Arial" w:cs="Arial"/>
                <w:color w:val="000000"/>
                <w:sz w:val="18"/>
                <w:szCs w:val="40"/>
              </w:rPr>
              <w:t>Fund</w:t>
            </w:r>
          </w:p>
        </w:tc>
        <w:tc>
          <w:tcPr>
            <w:tcW w:w="1520" w:type="dxa"/>
            <w:tcBorders>
              <w:left w:val="nil"/>
              <w:right w:val="nil"/>
            </w:tcBorders>
            <w:shd w:val="clear" w:color="auto" w:fill="FFFFFF"/>
            <w:vAlign w:val="center"/>
          </w:tcPr>
          <w:p w:rsidR="00D30C86" w:rsidRPr="00B130AF" w:rsidP="009D5F6A" w14:paraId="2CFF57B5" w14:textId="77777777">
            <w:pPr>
              <w:spacing w:after="0" w:line="252" w:lineRule="auto"/>
              <w:jc w:val="center"/>
              <w:rPr>
                <w:rFonts w:ascii="Arial" w:hAnsi="Arial" w:cs="Arial"/>
                <w:color w:val="000000"/>
                <w:sz w:val="18"/>
                <w:szCs w:val="40"/>
              </w:rPr>
            </w:pPr>
            <w:r w:rsidRPr="00B130AF">
              <w:rPr>
                <w:rFonts w:ascii="Arial" w:hAnsi="Arial" w:cs="Arial"/>
                <w:color w:val="000000"/>
                <w:sz w:val="18"/>
                <w:szCs w:val="40"/>
              </w:rPr>
              <w:t>174</w:t>
            </w:r>
          </w:p>
        </w:tc>
        <w:tc>
          <w:tcPr>
            <w:tcW w:w="1225" w:type="dxa"/>
            <w:tcBorders>
              <w:left w:val="nil"/>
              <w:right w:val="nil"/>
            </w:tcBorders>
            <w:shd w:val="clear" w:color="auto" w:fill="FFFFFF"/>
            <w:vAlign w:val="center"/>
          </w:tcPr>
          <w:p w:rsidR="00D30C86" w:rsidRPr="00B130AF" w:rsidP="009D5F6A" w14:paraId="5AD47678" w14:textId="77777777">
            <w:pPr>
              <w:spacing w:after="0" w:line="252" w:lineRule="auto"/>
              <w:jc w:val="center"/>
              <w:rPr>
                <w:rFonts w:ascii="Arial" w:hAnsi="Arial" w:cs="Arial"/>
                <w:color w:val="000000"/>
                <w:sz w:val="18"/>
                <w:szCs w:val="40"/>
              </w:rPr>
            </w:pPr>
            <w:r w:rsidRPr="00B130AF">
              <w:rPr>
                <w:rFonts w:ascii="Arial" w:hAnsi="Arial" w:cs="Arial"/>
                <w:color w:val="000000"/>
                <w:sz w:val="18"/>
                <w:szCs w:val="40"/>
              </w:rPr>
              <w:t>425</w:t>
            </w:r>
          </w:p>
        </w:tc>
        <w:tc>
          <w:tcPr>
            <w:tcW w:w="4820" w:type="dxa"/>
            <w:tcBorders>
              <w:left w:val="nil"/>
              <w:right w:val="nil"/>
            </w:tcBorders>
            <w:shd w:val="clear" w:color="auto" w:fill="FFFFFF"/>
            <w:vAlign w:val="center"/>
          </w:tcPr>
          <w:p w:rsidR="00D30C86" w:rsidRPr="00B130AF" w:rsidP="00832D40" w14:paraId="23D1D0E2" w14:textId="77777777">
            <w:pPr>
              <w:spacing w:after="0" w:line="252" w:lineRule="auto"/>
              <w:rPr>
                <w:rFonts w:ascii="Arial" w:hAnsi="Arial" w:cs="Arial"/>
                <w:color w:val="000000"/>
                <w:sz w:val="18"/>
                <w:szCs w:val="40"/>
              </w:rPr>
            </w:pPr>
            <w:r w:rsidRPr="00B130AF">
              <w:rPr>
                <w:rFonts w:ascii="Arial" w:hAnsi="Arial" w:cs="Arial"/>
                <w:color w:val="000000"/>
                <w:sz w:val="18"/>
                <w:szCs w:val="40"/>
              </w:rPr>
              <w:t>Environment - Climate Change</w:t>
            </w:r>
          </w:p>
          <w:p w:rsidR="00822BE8" w:rsidP="00832D40" w14:paraId="11DFCDEC" w14:textId="77777777">
            <w:pPr>
              <w:spacing w:after="0" w:line="252" w:lineRule="auto"/>
              <w:rPr>
                <w:rFonts w:ascii="Arial" w:hAnsi="Arial" w:cs="Arial"/>
                <w:color w:val="000000"/>
                <w:sz w:val="18"/>
                <w:szCs w:val="40"/>
              </w:rPr>
            </w:pPr>
            <w:r w:rsidRPr="00B130AF">
              <w:rPr>
                <w:rFonts w:ascii="Arial" w:hAnsi="Arial" w:cs="Arial"/>
                <w:color w:val="000000"/>
                <w:sz w:val="18"/>
                <w:szCs w:val="40"/>
              </w:rPr>
              <w:t xml:space="preserve">Governance - </w:t>
            </w:r>
            <w:r w:rsidRPr="00B130AF">
              <w:rPr>
                <w:rFonts w:ascii="Arial" w:hAnsi="Arial" w:cs="Arial"/>
                <w:color w:val="000000"/>
                <w:sz w:val="18"/>
                <w:szCs w:val="40"/>
              </w:rPr>
              <w:t>Remuneration;</w:t>
            </w:r>
            <w:r w:rsidRPr="00B130AF">
              <w:rPr>
                <w:rFonts w:ascii="Arial" w:hAnsi="Arial" w:cs="Arial"/>
                <w:color w:val="000000"/>
                <w:sz w:val="18"/>
                <w:szCs w:val="40"/>
              </w:rPr>
              <w:t xml:space="preserve"> </w:t>
            </w:r>
          </w:p>
          <w:p w:rsidR="00822BE8" w:rsidP="00832D40" w14:paraId="6CB07669" w14:textId="77777777">
            <w:pPr>
              <w:spacing w:after="0" w:line="252" w:lineRule="auto"/>
              <w:rPr>
                <w:rFonts w:ascii="Arial" w:hAnsi="Arial" w:cs="Arial"/>
                <w:color w:val="000000"/>
                <w:sz w:val="18"/>
                <w:szCs w:val="40"/>
              </w:rPr>
            </w:pPr>
            <w:r w:rsidRPr="00452716">
              <w:rPr>
                <w:rFonts w:ascii="Arial" w:hAnsi="Arial" w:cs="Arial"/>
                <w:color w:val="000000"/>
                <w:sz w:val="18"/>
                <w:szCs w:val="40"/>
              </w:rPr>
              <w:t>Board effectiveness</w:t>
            </w:r>
            <w:r w:rsidRPr="00452716">
              <w:rPr>
                <w:rFonts w:ascii="Arial" w:hAnsi="Arial" w:cs="Arial"/>
                <w:color w:val="000000"/>
                <w:sz w:val="18"/>
                <w:szCs w:val="40"/>
              </w:rPr>
              <w:t xml:space="preserve"> </w:t>
            </w:r>
            <w:r w:rsidRPr="00B130AF" w:rsidR="00185754">
              <w:rPr>
                <w:rFonts w:ascii="Arial" w:hAnsi="Arial" w:cs="Arial"/>
                <w:color w:val="000000"/>
                <w:sz w:val="18"/>
                <w:szCs w:val="40"/>
              </w:rPr>
              <w:t xml:space="preserve">- </w:t>
            </w:r>
            <w:r w:rsidRPr="00B130AF" w:rsidR="00185754">
              <w:rPr>
                <w:rFonts w:ascii="Arial" w:hAnsi="Arial" w:cs="Arial"/>
                <w:color w:val="000000"/>
                <w:sz w:val="18"/>
                <w:szCs w:val="40"/>
              </w:rPr>
              <w:t>Other;</w:t>
            </w:r>
            <w:r w:rsidRPr="00B130AF" w:rsidR="00185754">
              <w:rPr>
                <w:rFonts w:ascii="Arial" w:hAnsi="Arial" w:cs="Arial"/>
                <w:color w:val="000000"/>
                <w:sz w:val="18"/>
                <w:szCs w:val="40"/>
              </w:rPr>
              <w:t xml:space="preserve"> </w:t>
            </w:r>
          </w:p>
          <w:p w:rsidR="00D30C86" w:rsidRPr="00B130AF" w:rsidP="00832D40" w14:paraId="4347282C" w14:textId="0863834B">
            <w:pPr>
              <w:spacing w:after="0" w:line="252" w:lineRule="auto"/>
              <w:rPr>
                <w:rFonts w:ascii="Arial" w:hAnsi="Arial" w:cs="Arial"/>
                <w:color w:val="000000"/>
                <w:sz w:val="18"/>
                <w:szCs w:val="40"/>
              </w:rPr>
            </w:pPr>
            <w:r w:rsidRPr="00B130AF">
              <w:rPr>
                <w:rFonts w:ascii="Arial" w:hAnsi="Arial" w:cs="Arial"/>
                <w:color w:val="000000"/>
                <w:sz w:val="18"/>
                <w:szCs w:val="40"/>
              </w:rPr>
              <w:t>Leadership - Chair/CEO</w:t>
            </w:r>
          </w:p>
          <w:p w:rsidR="00D30C86" w:rsidRPr="00B130AF" w:rsidP="00832D40" w14:paraId="1BDCF10F" w14:textId="77777777">
            <w:pPr>
              <w:spacing w:after="0" w:line="252" w:lineRule="auto"/>
              <w:rPr>
                <w:rFonts w:ascii="Arial" w:hAnsi="Arial" w:cs="Arial"/>
                <w:color w:val="000000"/>
                <w:sz w:val="18"/>
                <w:szCs w:val="40"/>
              </w:rPr>
            </w:pPr>
            <w:r w:rsidRPr="00B130AF">
              <w:rPr>
                <w:rFonts w:ascii="Arial" w:hAnsi="Arial" w:cs="Arial"/>
                <w:color w:val="000000"/>
                <w:sz w:val="18"/>
                <w:szCs w:val="40"/>
              </w:rPr>
              <w:t>Strategy, Financial &amp; Reporting - Capital Allocation</w:t>
            </w:r>
          </w:p>
        </w:tc>
      </w:tr>
    </w:tbl>
    <w:p w:rsidR="002A71EB" w:rsidRPr="00940B3D" w:rsidP="001F01D9" w14:paraId="78041555" w14:textId="5A5E8FA3">
      <w:pPr>
        <w:spacing w:after="0" w:line="252" w:lineRule="auto"/>
        <w:ind w:right="-2021"/>
        <w:rPr>
          <w:rFonts w:ascii="Arial" w:hAnsi="Arial" w:cs="Arial"/>
          <w:i/>
          <w:sz w:val="16"/>
          <w:szCs w:val="20"/>
        </w:rPr>
      </w:pPr>
      <w:r w:rsidRPr="00452716">
        <w:rPr>
          <w:rFonts w:ascii="Arial" w:hAnsi="Arial" w:cs="Arial"/>
          <w:i/>
          <w:iCs/>
          <w:sz w:val="16"/>
          <w:szCs w:val="16"/>
        </w:rPr>
        <w:t xml:space="preserve">Source: </w:t>
      </w:r>
      <w:r w:rsidR="000F2022">
        <w:rPr>
          <w:rFonts w:ascii="Arial" w:hAnsi="Arial" w:cs="Arial"/>
          <w:i/>
          <w:iCs/>
          <w:sz w:val="16"/>
          <w:szCs w:val="16"/>
        </w:rPr>
        <w:t xml:space="preserve">Investment </w:t>
      </w:r>
      <w:r w:rsidR="000F2022">
        <w:rPr>
          <w:rFonts w:ascii="Arial" w:eastAsia="Arial" w:hAnsi="Arial" w:cs="Arial"/>
          <w:i/>
          <w:iCs/>
          <w:sz w:val="16"/>
          <w:szCs w:val="16"/>
        </w:rPr>
        <w:t>m</w:t>
      </w:r>
      <w:r w:rsidRPr="00D6116C" w:rsidR="009C0F83">
        <w:rPr>
          <w:rFonts w:ascii="Arial" w:eastAsia="Arial" w:hAnsi="Arial" w:cs="Arial"/>
          <w:i/>
          <w:iCs/>
          <w:sz w:val="16"/>
          <w:szCs w:val="16"/>
        </w:rPr>
        <w:t>anagers</w:t>
      </w:r>
      <w:r w:rsidRPr="00D6116C" w:rsidR="00672F55">
        <w:rPr>
          <w:rFonts w:ascii="Arial" w:eastAsia="Arial" w:hAnsi="Arial" w:cs="Arial"/>
          <w:i/>
          <w:iCs/>
          <w:sz w:val="16"/>
          <w:szCs w:val="16"/>
        </w:rPr>
        <w:t xml:space="preserve">. </w:t>
      </w:r>
      <w:r w:rsidR="001F01D9">
        <w:rPr>
          <w:rFonts w:ascii="Arial" w:eastAsia="Arial" w:hAnsi="Arial" w:cs="Arial"/>
          <w:i/>
          <w:iCs/>
          <w:sz w:val="16"/>
          <w:szCs w:val="16"/>
        </w:rPr>
        <w:t xml:space="preserve"> </w:t>
      </w:r>
    </w:p>
    <w:p w:rsidR="002A71EB" w:rsidRPr="00940B3D" w:rsidP="001F01D9" w14:paraId="4FB34CFF" w14:textId="77777777">
      <w:pPr>
        <w:spacing w:after="0" w:line="252" w:lineRule="auto"/>
        <w:ind w:right="-2021"/>
        <w:rPr>
          <w:rFonts w:ascii="Arial" w:hAnsi="Arial" w:cs="Arial"/>
          <w:i/>
          <w:sz w:val="16"/>
          <w:szCs w:val="20"/>
        </w:rPr>
      </w:pPr>
    </w:p>
    <w:p w:rsidR="00CD3A8A" w:rsidRPr="000170FE" w:rsidP="00B80858" w14:paraId="3A167D2A" w14:textId="07E3E99E">
      <w:pPr>
        <w:spacing w:after="0" w:line="252" w:lineRule="auto"/>
        <w:ind w:right="-2996"/>
        <w:jc w:val="both"/>
        <w:rPr>
          <w:rFonts w:ascii="Arial" w:hAnsi="Arial" w:cs="Arial"/>
          <w:sz w:val="20"/>
          <w:szCs w:val="20"/>
        </w:rPr>
      </w:pPr>
      <w:r w:rsidRPr="00B80858">
        <w:rPr>
          <w:rFonts w:ascii="Arial" w:eastAsia="Arial" w:hAnsi="Arial" w:cs="Arial"/>
          <w:i/>
          <w:iCs/>
          <w:sz w:val="20"/>
          <w:szCs w:val="20"/>
        </w:rPr>
        <w:t xml:space="preserve"> </w:t>
      </w:r>
      <w:bookmarkStart w:id="20" w:name="Bm_ManagersWOEngThemesFundL_Arial10It"/>
      <w:bookmarkEnd w:id="20"/>
    </w:p>
    <w:p w:rsidR="00B02AD1" w:rsidRPr="00B80858" w:rsidP="00B80858" w14:paraId="0BCC75AC" w14:textId="77777777">
      <w:pPr>
        <w:spacing w:after="0" w:line="252" w:lineRule="auto"/>
        <w:ind w:right="-2996"/>
        <w:jc w:val="both"/>
        <w:rPr>
          <w:rFonts w:ascii="Arial" w:hAnsi="Arial" w:cs="Arial"/>
          <w:b/>
          <w:bCs/>
          <w:sz w:val="20"/>
          <w:szCs w:val="20"/>
        </w:rPr>
      </w:pPr>
      <w:r w:rsidRPr="00B80858">
        <w:rPr>
          <w:rFonts w:ascii="Arial" w:hAnsi="Arial" w:cs="Arial"/>
          <w:b/>
          <w:bCs/>
          <w:sz w:val="20"/>
          <w:szCs w:val="20"/>
        </w:rPr>
        <w:t>Data limitations</w:t>
      </w:r>
    </w:p>
    <w:p w:rsidR="00B02AD1" w:rsidRPr="000170FE" w:rsidP="00B80858" w14:paraId="3DCB10EA" w14:textId="77777777">
      <w:pPr>
        <w:spacing w:after="0" w:line="252" w:lineRule="auto"/>
        <w:ind w:right="-2996"/>
        <w:rPr>
          <w:rFonts w:ascii="Arial" w:hAnsi="Arial" w:cs="Arial"/>
          <w:sz w:val="20"/>
          <w:szCs w:val="20"/>
        </w:rPr>
      </w:pPr>
    </w:p>
    <w:p w:rsidR="00B02AD1" w:rsidRPr="000170FE" w:rsidP="00B80858" w14:paraId="779C67FC" w14:textId="05A47BDE">
      <w:pPr>
        <w:spacing w:after="0" w:line="252" w:lineRule="auto"/>
        <w:ind w:right="-2996"/>
        <w:jc w:val="both"/>
        <w:rPr>
          <w:rFonts w:ascii="Arial" w:hAnsi="Arial" w:cs="Arial"/>
          <w:sz w:val="20"/>
          <w:szCs w:val="20"/>
        </w:rPr>
      </w:pPr>
      <w:r w:rsidRPr="000170FE">
        <w:rPr>
          <w:rFonts w:ascii="Arial" w:hAnsi="Arial" w:cs="Arial"/>
          <w:sz w:val="20"/>
          <w:szCs w:val="20"/>
        </w:rPr>
        <w:t xml:space="preserve">At the time of writing, LGIM provided a complete list of engagements for the invested fund, </w:t>
      </w:r>
      <w:r w:rsidRPr="000170FE" w:rsidR="003645E5">
        <w:rPr>
          <w:rFonts w:ascii="Arial" w:hAnsi="Arial" w:cs="Arial"/>
          <w:sz w:val="20"/>
          <w:szCs w:val="20"/>
        </w:rPr>
        <w:t>however,</w:t>
      </w:r>
      <w:r w:rsidRPr="000170FE">
        <w:rPr>
          <w:rFonts w:ascii="Arial" w:hAnsi="Arial" w:cs="Arial"/>
          <w:sz w:val="20"/>
          <w:szCs w:val="20"/>
        </w:rPr>
        <w:t xml:space="preserve"> did not include as much detail as recommended in the best practice industry standard Investment Consultants Sustainability Working Group (“ICSWG”) reporting guide. LGIM will provide further engagement information, in line with the ICSWG reporting guide, after it publishes its annual stewardship report. LGIM’s firm-level engagement information will be available when its annual report is published.</w:t>
      </w:r>
    </w:p>
    <w:p w:rsidR="00452716" w:rsidRPr="000170FE" w:rsidP="00B80858" w14:paraId="1F63D9B5" w14:textId="122797FB">
      <w:pPr>
        <w:spacing w:after="0" w:line="252" w:lineRule="auto"/>
        <w:ind w:left="720" w:right="-2996"/>
        <w:jc w:val="both"/>
        <w:rPr>
          <w:rFonts w:ascii="Arial" w:hAnsi="Arial" w:cs="Arial"/>
          <w:sz w:val="20"/>
          <w:szCs w:val="20"/>
        </w:rPr>
      </w:pPr>
    </w:p>
    <w:p w:rsidR="00B02AD1" w:rsidRPr="000170FE" w:rsidP="00B80858" w14:paraId="3DDAAABA" w14:textId="29C4723D">
      <w:pPr>
        <w:spacing w:after="0" w:line="252" w:lineRule="auto"/>
        <w:ind w:right="-2996"/>
        <w:jc w:val="both"/>
        <w:rPr>
          <w:rFonts w:ascii="Arial" w:hAnsi="Arial" w:cs="Arial"/>
          <w:sz w:val="20"/>
          <w:szCs w:val="20"/>
        </w:rPr>
      </w:pPr>
      <w:r w:rsidRPr="000170FE">
        <w:rPr>
          <w:rFonts w:ascii="Arial" w:hAnsi="Arial" w:cs="Arial"/>
          <w:sz w:val="20"/>
          <w:szCs w:val="20"/>
        </w:rPr>
        <w:t xml:space="preserve">This report does not include commentary on certain asset classes such </w:t>
      </w:r>
      <w:r w:rsidRPr="00864EBE">
        <w:rPr>
          <w:rFonts w:ascii="Arial" w:hAnsi="Arial" w:cs="Arial"/>
          <w:sz w:val="20"/>
          <w:szCs w:val="20"/>
        </w:rPr>
        <w:t xml:space="preserve">as </w:t>
      </w:r>
      <w:r w:rsidRPr="00B80858">
        <w:rPr>
          <w:rFonts w:ascii="Arial" w:hAnsi="Arial" w:cs="Arial"/>
          <w:sz w:val="20"/>
          <w:szCs w:val="20"/>
        </w:rPr>
        <w:t>liability driven investments, gilts or cash</w:t>
      </w:r>
      <w:r w:rsidRPr="000170FE">
        <w:rPr>
          <w:rFonts w:ascii="Arial" w:hAnsi="Arial" w:cs="Arial"/>
          <w:sz w:val="20"/>
          <w:szCs w:val="20"/>
        </w:rPr>
        <w:t xml:space="preserve"> because of the limited materiality of stewardship to these asset classes. Further, this report does not include the additional voluntary contributions (“AVCs”) due to the relatively small proportion of the Scheme’s assets that are held as AVCs.</w:t>
      </w:r>
    </w:p>
    <w:p w:rsidR="00B02AD1" w:rsidP="00B02AD1" w14:paraId="08D46635" w14:textId="77777777">
      <w:pPr>
        <w:spacing w:after="0" w:line="252" w:lineRule="auto"/>
        <w:rPr>
          <w:rFonts w:ascii="Arial" w:hAnsi="Arial" w:cs="Arial"/>
          <w:sz w:val="20"/>
          <w:szCs w:val="20"/>
        </w:rPr>
        <w:sectPr w:rsidSect="00223472">
          <w:pgSz w:w="11906" w:h="16838"/>
          <w:pgMar w:top="1440" w:right="3986" w:bottom="1440" w:left="851" w:header="708" w:footer="708" w:gutter="0"/>
          <w:cols w:space="708"/>
          <w:docGrid w:linePitch="360"/>
        </w:sectPr>
      </w:pPr>
    </w:p>
    <w:p w:rsidR="003F6BB8" w:rsidRPr="00B80858" w:rsidP="00B80858" w14:paraId="5761C16A" w14:textId="19D4016F">
      <w:pPr>
        <w:spacing w:after="0" w:line="252" w:lineRule="auto"/>
        <w:ind w:right="-2996"/>
        <w:jc w:val="both"/>
        <w:rPr>
          <w:rFonts w:ascii="Arial" w:hAnsi="Arial" w:cs="Arial"/>
          <w:b/>
          <w:bCs/>
          <w:sz w:val="20"/>
          <w:szCs w:val="20"/>
        </w:rPr>
      </w:pPr>
      <w:bookmarkStart w:id="21" w:name="Bm_VotingExSection"/>
      <w:r w:rsidRPr="00B80858">
        <w:rPr>
          <w:rFonts w:ascii="Arial" w:hAnsi="Arial" w:cs="Arial"/>
          <w:b/>
          <w:bCs/>
          <w:sz w:val="20"/>
          <w:szCs w:val="20"/>
        </w:rPr>
        <w:t>Appendix – Significant Voting Examples</w:t>
      </w:r>
      <w:r w:rsidR="002B7DF6">
        <w:rPr>
          <w:rFonts w:ascii="Arial" w:hAnsi="Arial" w:cs="Arial"/>
          <w:b/>
          <w:bCs/>
          <w:sz w:val="20"/>
          <w:szCs w:val="20"/>
        </w:rPr>
        <w:t xml:space="preserve"> </w:t>
      </w:r>
    </w:p>
    <w:p w:rsidR="003F6BB8" w:rsidP="003F6BB8" w14:paraId="5C45E842" w14:textId="77777777">
      <w:pPr>
        <w:spacing w:after="0" w:line="252" w:lineRule="auto"/>
        <w:rPr>
          <w:rFonts w:ascii="Arial" w:hAnsi="Arial" w:cs="Arial"/>
          <w:sz w:val="20"/>
          <w:szCs w:val="20"/>
        </w:rPr>
      </w:pPr>
    </w:p>
    <w:p w:rsidR="003F6BB8" w:rsidP="009D5F6A" w14:paraId="00EC0346" w14:textId="705F5437">
      <w:pPr>
        <w:spacing w:after="0" w:line="252" w:lineRule="auto"/>
        <w:jc w:val="both"/>
        <w:rPr>
          <w:rFonts w:ascii="Arial" w:hAnsi="Arial" w:cs="Arial"/>
          <w:sz w:val="20"/>
          <w:szCs w:val="20"/>
        </w:rPr>
      </w:pPr>
      <w:r w:rsidRPr="00864EBE">
        <w:rPr>
          <w:rFonts w:ascii="Arial" w:hAnsi="Arial" w:cs="Arial"/>
          <w:sz w:val="20"/>
          <w:szCs w:val="20"/>
        </w:rPr>
        <w:t xml:space="preserve">In the table below are some significant vote examples provided by the </w:t>
      </w:r>
      <w:r w:rsidRPr="00864EBE" w:rsidR="002B7DF6">
        <w:rPr>
          <w:rFonts w:ascii="Arial" w:hAnsi="Arial" w:cs="Arial"/>
          <w:sz w:val="20"/>
          <w:szCs w:val="20"/>
        </w:rPr>
        <w:t>Scheme</w:t>
      </w:r>
      <w:r w:rsidRPr="00864EBE">
        <w:rPr>
          <w:rFonts w:ascii="Arial" w:hAnsi="Arial" w:cs="Arial"/>
          <w:sz w:val="20"/>
          <w:szCs w:val="20"/>
        </w:rPr>
        <w:t xml:space="preserve">’s </w:t>
      </w:r>
      <w:r w:rsidRPr="00864EBE" w:rsidR="000F2022">
        <w:rPr>
          <w:rFonts w:ascii="Arial" w:hAnsi="Arial" w:cs="Arial"/>
          <w:sz w:val="20"/>
          <w:szCs w:val="20"/>
        </w:rPr>
        <w:t xml:space="preserve">investment </w:t>
      </w:r>
      <w:r w:rsidRPr="00864EBE">
        <w:rPr>
          <w:rFonts w:ascii="Arial" w:hAnsi="Arial" w:cs="Arial"/>
          <w:sz w:val="20"/>
          <w:szCs w:val="20"/>
        </w:rPr>
        <w:t xml:space="preserve">managers. </w:t>
      </w:r>
      <w:r w:rsidRPr="00B80858">
        <w:rPr>
          <w:rFonts w:ascii="Arial" w:hAnsi="Arial" w:cs="Arial"/>
          <w:sz w:val="20"/>
          <w:szCs w:val="20"/>
        </w:rPr>
        <w:t>We consider a significant vote to be one which the</w:t>
      </w:r>
      <w:r w:rsidRPr="00B80858" w:rsidR="002B7DF6">
        <w:rPr>
          <w:rFonts w:ascii="Arial" w:hAnsi="Arial" w:cs="Arial"/>
          <w:sz w:val="20"/>
          <w:szCs w:val="20"/>
        </w:rPr>
        <w:t xml:space="preserve"> investment</w:t>
      </w:r>
      <w:r w:rsidRPr="00B80858">
        <w:rPr>
          <w:rFonts w:ascii="Arial" w:hAnsi="Arial" w:cs="Arial"/>
          <w:sz w:val="20"/>
          <w:szCs w:val="20"/>
        </w:rPr>
        <w:t xml:space="preserve"> manager considers significant.</w:t>
      </w:r>
      <w:r w:rsidRPr="00864EBE">
        <w:rPr>
          <w:rFonts w:ascii="Arial" w:hAnsi="Arial" w:cs="Arial"/>
          <w:sz w:val="20"/>
          <w:szCs w:val="20"/>
        </w:rPr>
        <w:t xml:space="preserve"> </w:t>
      </w:r>
      <w:r w:rsidRPr="00864EBE" w:rsidR="000F2022">
        <w:rPr>
          <w:rFonts w:ascii="Arial" w:hAnsi="Arial" w:cs="Arial"/>
          <w:sz w:val="20"/>
          <w:szCs w:val="20"/>
        </w:rPr>
        <w:t>Investment m</w:t>
      </w:r>
      <w:r w:rsidRPr="00864EBE">
        <w:rPr>
          <w:rFonts w:ascii="Arial" w:hAnsi="Arial" w:cs="Arial"/>
          <w:sz w:val="20"/>
          <w:szCs w:val="20"/>
        </w:rPr>
        <w:t>anagers use a wide variety of criteria to determine what they consider a significant vote, some of which are outlined in the examples below</w:t>
      </w:r>
      <w:r w:rsidRPr="00864EBE" w:rsidR="002B335A">
        <w:rPr>
          <w:rFonts w:ascii="Arial" w:hAnsi="Arial" w:cs="Arial"/>
          <w:sz w:val="20"/>
          <w:szCs w:val="20"/>
        </w:rPr>
        <w:t>:</w:t>
      </w:r>
    </w:p>
    <w:p w:rsidR="00C34062" w:rsidRPr="006757B5" w:rsidP="00C34062" w14:paraId="794638FE" w14:textId="77777777">
      <w:pPr>
        <w:spacing w:after="0" w:line="252"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00"/>
        <w:gridCol w:w="3000"/>
        <w:gridCol w:w="4000"/>
      </w:tblGrid>
      <w:tr w14:paraId="383E0DBA" w14:textId="77777777">
        <w:tblPrEx>
          <w:tblW w:w="0" w:type="auto"/>
          <w:tblLayout w:type="fixed"/>
          <w:tblLook w:val="04A0"/>
        </w:tblPrEx>
        <w:trPr>
          <w:trHeight w:hRule="exact" w:val="240"/>
        </w:trPr>
        <w:tc>
          <w:tcPr>
            <w:tcW w:w="3000" w:type="dxa"/>
            <w:vMerge w:val="restart"/>
            <w:tcBorders>
              <w:left w:val="nil"/>
              <w:right w:val="nil"/>
            </w:tcBorders>
            <w:shd w:val="clear" w:color="auto" w:fill="FFFFFF"/>
          </w:tcPr>
          <w:p w:rsidR="00D30C86" w:rsidRPr="00B130AF" w:rsidP="00832D40" w14:paraId="16055AB1" w14:textId="55BD0F1C">
            <w:pPr>
              <w:spacing w:after="0" w:line="252" w:lineRule="auto"/>
              <w:rPr>
                <w:rFonts w:ascii="Arial" w:eastAsia="Arial" w:hAnsi="Arial" w:cs="Arial"/>
                <w:b/>
                <w:color w:val="000000"/>
                <w:sz w:val="18"/>
                <w:szCs w:val="40"/>
              </w:rPr>
            </w:pPr>
            <w:r w:rsidRPr="001B0AED">
              <w:rPr>
                <w:rFonts w:ascii="Arial" w:eastAsia="Arial" w:hAnsi="Arial" w:cs="Arial"/>
                <w:b/>
                <w:color w:val="000000"/>
                <w:sz w:val="18"/>
                <w:szCs w:val="40"/>
              </w:rPr>
              <w:t>LGIM – Multi-Factor Equity Fund</w:t>
            </w:r>
          </w:p>
        </w:tc>
        <w:tc>
          <w:tcPr>
            <w:tcW w:w="3000" w:type="dxa"/>
            <w:tcBorders>
              <w:left w:val="nil"/>
              <w:right w:val="nil"/>
            </w:tcBorders>
            <w:shd w:val="clear" w:color="auto" w:fill="FFFFFF"/>
            <w:vAlign w:val="center"/>
          </w:tcPr>
          <w:p w:rsidR="00D30C86" w:rsidRPr="00B130AF" w:rsidP="00832D40" w14:paraId="66750566" w14:textId="77777777">
            <w:pPr>
              <w:spacing w:after="0" w:line="252" w:lineRule="auto"/>
              <w:rPr>
                <w:rFonts w:ascii="Arial" w:eastAsia="Arial" w:hAnsi="Arial" w:cs="Arial"/>
                <w:b/>
                <w:color w:val="000000"/>
                <w:sz w:val="18"/>
                <w:szCs w:val="40"/>
              </w:rPr>
            </w:pPr>
            <w:r w:rsidRPr="00B130AF">
              <w:rPr>
                <w:rFonts w:ascii="Arial" w:eastAsia="Arial" w:hAnsi="Arial" w:cs="Arial"/>
                <w:b/>
                <w:color w:val="000000"/>
                <w:sz w:val="18"/>
                <w:szCs w:val="40"/>
              </w:rPr>
              <w:t>Company name</w:t>
            </w:r>
          </w:p>
        </w:tc>
        <w:tc>
          <w:tcPr>
            <w:tcW w:w="4000" w:type="dxa"/>
            <w:tcBorders>
              <w:left w:val="nil"/>
              <w:right w:val="nil"/>
            </w:tcBorders>
            <w:shd w:val="clear" w:color="auto" w:fill="FFFFFF"/>
            <w:vAlign w:val="center"/>
          </w:tcPr>
          <w:p w:rsidR="00D30C86" w:rsidRPr="00B130AF" w:rsidP="00832D40" w14:paraId="325D16BD" w14:textId="77777777">
            <w:pPr>
              <w:spacing w:after="0" w:line="252" w:lineRule="auto"/>
              <w:rPr>
                <w:rFonts w:ascii="Arial" w:eastAsia="Arial" w:hAnsi="Arial" w:cs="Arial"/>
                <w:color w:val="000000"/>
                <w:sz w:val="18"/>
                <w:szCs w:val="40"/>
              </w:rPr>
            </w:pPr>
            <w:r w:rsidRPr="00B130AF">
              <w:rPr>
                <w:rFonts w:ascii="Arial" w:eastAsia="Arial" w:hAnsi="Arial" w:cs="Arial"/>
                <w:color w:val="000000"/>
                <w:sz w:val="18"/>
                <w:szCs w:val="40"/>
              </w:rPr>
              <w:t>Microsoft Corporation</w:t>
            </w:r>
          </w:p>
        </w:tc>
      </w:tr>
      <w:tr w14:paraId="2CEB7381" w14:textId="77777777">
        <w:tblPrEx>
          <w:tblW w:w="0" w:type="auto"/>
          <w:tblLayout w:type="fixed"/>
          <w:tblLook w:val="04A0"/>
        </w:tblPrEx>
        <w:trPr>
          <w:trHeight w:hRule="exact" w:val="240"/>
        </w:trPr>
        <w:tc>
          <w:tcPr>
            <w:tcW w:w="3000" w:type="dxa"/>
            <w:vMerge/>
            <w:tcBorders>
              <w:top w:val="single" w:sz="4" w:space="0" w:color="FFFFFF"/>
              <w:left w:val="nil"/>
              <w:right w:val="nil"/>
            </w:tcBorders>
            <w:shd w:val="clear" w:color="auto" w:fill="FFFFFF"/>
            <w:vAlign w:val="center"/>
          </w:tcPr>
          <w:p w:rsidR="00D30C86" w:rsidRPr="00B130AF" w:rsidP="00832D40" w14:paraId="3FA173D5" w14:textId="77777777">
            <w:pPr>
              <w:spacing w:after="0" w:line="252" w:lineRule="auto"/>
              <w:rPr>
                <w:rFonts w:ascii="Arial" w:eastAsia="Arial" w:hAnsi="Arial" w:cs="Arial"/>
                <w:color w:val="000000"/>
                <w:sz w:val="18"/>
                <w:szCs w:val="40"/>
              </w:rPr>
            </w:pPr>
          </w:p>
        </w:tc>
        <w:tc>
          <w:tcPr>
            <w:tcW w:w="3000" w:type="dxa"/>
            <w:tcBorders>
              <w:top w:val="single" w:sz="4" w:space="0" w:color="FFFFFF"/>
              <w:left w:val="nil"/>
              <w:right w:val="nil"/>
            </w:tcBorders>
            <w:shd w:val="clear" w:color="auto" w:fill="FFFFFF"/>
            <w:vAlign w:val="center"/>
          </w:tcPr>
          <w:p w:rsidR="00D30C86" w:rsidRPr="00B130AF" w:rsidP="00832D40" w14:paraId="2FE5955C" w14:textId="77777777">
            <w:pPr>
              <w:spacing w:after="0" w:line="252" w:lineRule="auto"/>
              <w:rPr>
                <w:rFonts w:ascii="Arial" w:eastAsia="Arial" w:hAnsi="Arial" w:cs="Arial"/>
                <w:b/>
                <w:color w:val="000000"/>
                <w:sz w:val="18"/>
                <w:szCs w:val="40"/>
              </w:rPr>
            </w:pPr>
            <w:r w:rsidRPr="00B130AF">
              <w:rPr>
                <w:rFonts w:ascii="Arial" w:eastAsia="Arial" w:hAnsi="Arial" w:cs="Arial"/>
                <w:b/>
                <w:color w:val="000000"/>
                <w:sz w:val="18"/>
                <w:szCs w:val="40"/>
              </w:rPr>
              <w:t>Date of vote</w:t>
            </w:r>
          </w:p>
        </w:tc>
        <w:tc>
          <w:tcPr>
            <w:tcW w:w="4000" w:type="dxa"/>
            <w:tcBorders>
              <w:top w:val="single" w:sz="4" w:space="0" w:color="FFFFFF"/>
              <w:left w:val="nil"/>
              <w:right w:val="nil"/>
            </w:tcBorders>
            <w:shd w:val="clear" w:color="auto" w:fill="FFFFFF"/>
            <w:vAlign w:val="center"/>
          </w:tcPr>
          <w:p w:rsidR="00D30C86" w:rsidRPr="00B130AF" w:rsidP="00832D40" w14:paraId="159FC23E" w14:textId="77777777">
            <w:pPr>
              <w:spacing w:after="0" w:line="252" w:lineRule="auto"/>
              <w:rPr>
                <w:rFonts w:ascii="Arial" w:eastAsia="Arial" w:hAnsi="Arial" w:cs="Arial"/>
                <w:color w:val="000000"/>
                <w:sz w:val="18"/>
                <w:szCs w:val="40"/>
              </w:rPr>
            </w:pPr>
            <w:r w:rsidRPr="00B130AF">
              <w:rPr>
                <w:rFonts w:ascii="Arial" w:eastAsia="Arial" w:hAnsi="Arial" w:cs="Arial"/>
                <w:color w:val="000000"/>
                <w:sz w:val="18"/>
                <w:szCs w:val="40"/>
              </w:rPr>
              <w:t>10 December 2024</w:t>
            </w:r>
          </w:p>
        </w:tc>
      </w:tr>
      <w:tr w14:paraId="1BA23DD7" w14:textId="77777777">
        <w:tblPrEx>
          <w:tblW w:w="0" w:type="auto"/>
          <w:tblLayout w:type="fixed"/>
          <w:tblLook w:val="04A0"/>
        </w:tblPrEx>
        <w:trPr>
          <w:trHeight w:val="300"/>
        </w:trPr>
        <w:tc>
          <w:tcPr>
            <w:tcW w:w="3000" w:type="dxa"/>
            <w:vMerge/>
            <w:tcBorders>
              <w:top w:val="single" w:sz="4" w:space="0" w:color="FFFFFF"/>
              <w:left w:val="nil"/>
              <w:right w:val="nil"/>
            </w:tcBorders>
            <w:shd w:val="clear" w:color="auto" w:fill="FFFFFF"/>
            <w:vAlign w:val="center"/>
          </w:tcPr>
          <w:p w:rsidR="00D30C86" w:rsidRPr="00B130AF" w:rsidP="00832D40" w14:paraId="5FBAF16E" w14:textId="77777777">
            <w:pPr>
              <w:spacing w:after="0" w:line="252" w:lineRule="auto"/>
              <w:rPr>
                <w:rFonts w:ascii="Arial" w:eastAsia="Arial" w:hAnsi="Arial" w:cs="Arial"/>
                <w:color w:val="000000"/>
                <w:sz w:val="18"/>
                <w:szCs w:val="40"/>
              </w:rPr>
            </w:pPr>
          </w:p>
        </w:tc>
        <w:tc>
          <w:tcPr>
            <w:tcW w:w="3000" w:type="dxa"/>
            <w:tcBorders>
              <w:top w:val="single" w:sz="4" w:space="0" w:color="FFFFFF"/>
              <w:left w:val="nil"/>
              <w:right w:val="nil"/>
            </w:tcBorders>
            <w:shd w:val="clear" w:color="auto" w:fill="FFFFFF"/>
            <w:vAlign w:val="center"/>
          </w:tcPr>
          <w:p w:rsidR="00D30C86" w:rsidRPr="00B130AF" w:rsidP="00832D40" w14:paraId="21CCF370" w14:textId="77777777">
            <w:pPr>
              <w:spacing w:after="0" w:line="252" w:lineRule="auto"/>
              <w:rPr>
                <w:rFonts w:ascii="Arial" w:eastAsia="Arial" w:hAnsi="Arial" w:cs="Arial"/>
                <w:b/>
                <w:color w:val="000000"/>
                <w:sz w:val="18"/>
                <w:szCs w:val="40"/>
              </w:rPr>
            </w:pPr>
            <w:r w:rsidRPr="00B130AF">
              <w:rPr>
                <w:rFonts w:ascii="Arial" w:eastAsia="Arial" w:hAnsi="Arial" w:cs="Arial"/>
                <w:b/>
                <w:color w:val="000000"/>
                <w:sz w:val="18"/>
                <w:szCs w:val="40"/>
              </w:rPr>
              <w:t>Approximate size of</w:t>
            </w:r>
          </w:p>
          <w:p w:rsidR="00D30C86" w:rsidRPr="00B130AF" w:rsidP="00832D40" w14:paraId="4EA3C76F" w14:textId="77777777">
            <w:pPr>
              <w:spacing w:after="0" w:line="252" w:lineRule="auto"/>
              <w:rPr>
                <w:rFonts w:ascii="Arial" w:eastAsia="Arial" w:hAnsi="Arial" w:cs="Arial"/>
                <w:b/>
                <w:color w:val="000000"/>
                <w:sz w:val="18"/>
                <w:szCs w:val="40"/>
              </w:rPr>
            </w:pPr>
            <w:r w:rsidRPr="00B130AF">
              <w:rPr>
                <w:rFonts w:ascii="Arial" w:eastAsia="Arial" w:hAnsi="Arial" w:cs="Arial"/>
                <w:b/>
                <w:color w:val="000000"/>
                <w:sz w:val="18"/>
                <w:szCs w:val="40"/>
              </w:rPr>
              <w:t>fund's/mandate's holding as at</w:t>
            </w:r>
          </w:p>
          <w:p w:rsidR="00D30C86" w:rsidRPr="00B130AF" w:rsidP="00832D40" w14:paraId="7C26CC8E" w14:textId="77777777">
            <w:pPr>
              <w:spacing w:after="0" w:line="252" w:lineRule="auto"/>
              <w:rPr>
                <w:rFonts w:ascii="Arial" w:eastAsia="Arial" w:hAnsi="Arial" w:cs="Arial"/>
                <w:b/>
                <w:color w:val="000000"/>
                <w:sz w:val="18"/>
                <w:szCs w:val="40"/>
              </w:rPr>
            </w:pPr>
            <w:r w:rsidRPr="00B130AF">
              <w:rPr>
                <w:rFonts w:ascii="Arial" w:eastAsia="Arial" w:hAnsi="Arial" w:cs="Arial"/>
                <w:b/>
                <w:color w:val="000000"/>
                <w:sz w:val="18"/>
                <w:szCs w:val="40"/>
              </w:rPr>
              <w:t>the date of the vote (as % of</w:t>
            </w:r>
          </w:p>
          <w:p w:rsidR="00D30C86" w:rsidRPr="00B130AF" w:rsidP="00832D40" w14:paraId="77825E9D" w14:textId="77777777">
            <w:pPr>
              <w:spacing w:after="0" w:line="252" w:lineRule="auto"/>
              <w:rPr>
                <w:rFonts w:ascii="Arial" w:eastAsia="Arial" w:hAnsi="Arial" w:cs="Arial"/>
                <w:b/>
                <w:color w:val="000000"/>
                <w:sz w:val="18"/>
                <w:szCs w:val="40"/>
              </w:rPr>
            </w:pPr>
            <w:r w:rsidRPr="00B130AF">
              <w:rPr>
                <w:rFonts w:ascii="Arial" w:eastAsia="Arial" w:hAnsi="Arial" w:cs="Arial"/>
                <w:b/>
                <w:color w:val="000000"/>
                <w:sz w:val="18"/>
                <w:szCs w:val="40"/>
              </w:rPr>
              <w:t>portfolio)</w:t>
            </w:r>
          </w:p>
        </w:tc>
        <w:tc>
          <w:tcPr>
            <w:tcW w:w="4000" w:type="dxa"/>
            <w:tcBorders>
              <w:top w:val="single" w:sz="4" w:space="0" w:color="FFFFFF"/>
              <w:left w:val="nil"/>
              <w:right w:val="nil"/>
            </w:tcBorders>
            <w:shd w:val="clear" w:color="auto" w:fill="FFFFFF"/>
            <w:vAlign w:val="center"/>
          </w:tcPr>
          <w:p w:rsidR="00D30C86" w:rsidRPr="00B130AF" w:rsidP="00832D40" w14:paraId="5F74B720" w14:textId="4FCAEDC5">
            <w:pPr>
              <w:spacing w:after="0" w:line="252" w:lineRule="auto"/>
              <w:rPr>
                <w:rFonts w:ascii="Arial" w:eastAsia="Arial" w:hAnsi="Arial" w:cs="Arial"/>
                <w:color w:val="000000"/>
                <w:sz w:val="18"/>
                <w:szCs w:val="40"/>
              </w:rPr>
            </w:pPr>
            <w:r w:rsidRPr="00B130AF">
              <w:rPr>
                <w:rFonts w:ascii="Arial" w:eastAsia="Arial" w:hAnsi="Arial" w:cs="Arial"/>
                <w:color w:val="000000"/>
                <w:sz w:val="18"/>
                <w:szCs w:val="40"/>
              </w:rPr>
              <w:t>0.4</w:t>
            </w:r>
            <w:r w:rsidR="002B7DF6">
              <w:rPr>
                <w:rFonts w:ascii="Arial" w:eastAsia="Arial" w:hAnsi="Arial" w:cs="Arial"/>
                <w:color w:val="000000"/>
                <w:sz w:val="18"/>
                <w:szCs w:val="40"/>
              </w:rPr>
              <w:t>%</w:t>
            </w:r>
          </w:p>
        </w:tc>
      </w:tr>
      <w:tr w14:paraId="036A7980" w14:textId="77777777">
        <w:tblPrEx>
          <w:tblW w:w="0" w:type="auto"/>
          <w:tblLayout w:type="fixed"/>
          <w:tblLook w:val="04A0"/>
        </w:tblPrEx>
        <w:trPr>
          <w:trHeight w:val="240"/>
        </w:trPr>
        <w:tc>
          <w:tcPr>
            <w:tcW w:w="3000" w:type="dxa"/>
            <w:vMerge/>
            <w:tcBorders>
              <w:top w:val="single" w:sz="4" w:space="0" w:color="FFFFFF"/>
              <w:left w:val="nil"/>
              <w:right w:val="nil"/>
            </w:tcBorders>
            <w:shd w:val="clear" w:color="auto" w:fill="FFFFFF"/>
            <w:vAlign w:val="center"/>
          </w:tcPr>
          <w:p w:rsidR="00D30C86" w:rsidRPr="00B130AF" w:rsidP="00832D40" w14:paraId="3A2B1435" w14:textId="77777777">
            <w:pPr>
              <w:spacing w:after="0" w:line="252" w:lineRule="auto"/>
              <w:rPr>
                <w:rFonts w:ascii="Arial" w:eastAsia="Arial" w:hAnsi="Arial" w:cs="Arial"/>
                <w:color w:val="000000"/>
                <w:sz w:val="18"/>
                <w:szCs w:val="40"/>
              </w:rPr>
            </w:pPr>
          </w:p>
        </w:tc>
        <w:tc>
          <w:tcPr>
            <w:tcW w:w="3000" w:type="dxa"/>
            <w:tcBorders>
              <w:top w:val="single" w:sz="4" w:space="0" w:color="FFFFFF"/>
              <w:left w:val="nil"/>
              <w:right w:val="nil"/>
            </w:tcBorders>
            <w:shd w:val="clear" w:color="auto" w:fill="FFFFFF"/>
            <w:vAlign w:val="center"/>
          </w:tcPr>
          <w:p w:rsidR="00D30C86" w:rsidRPr="00B130AF" w:rsidP="00832D40" w14:paraId="21B30A73" w14:textId="77777777">
            <w:pPr>
              <w:spacing w:after="0" w:line="252" w:lineRule="auto"/>
              <w:rPr>
                <w:rFonts w:ascii="Arial" w:eastAsia="Arial" w:hAnsi="Arial" w:cs="Arial"/>
                <w:b/>
                <w:color w:val="000000"/>
                <w:sz w:val="18"/>
                <w:szCs w:val="40"/>
              </w:rPr>
            </w:pPr>
            <w:r w:rsidRPr="00B130AF">
              <w:rPr>
                <w:rFonts w:ascii="Arial" w:eastAsia="Arial" w:hAnsi="Arial" w:cs="Arial"/>
                <w:b/>
                <w:color w:val="000000"/>
                <w:sz w:val="18"/>
                <w:szCs w:val="40"/>
              </w:rPr>
              <w:t>Summary of the resolution</w:t>
            </w:r>
          </w:p>
        </w:tc>
        <w:tc>
          <w:tcPr>
            <w:tcW w:w="4000" w:type="dxa"/>
            <w:tcBorders>
              <w:top w:val="single" w:sz="4" w:space="0" w:color="FFFFFF"/>
              <w:left w:val="nil"/>
              <w:right w:val="nil"/>
            </w:tcBorders>
            <w:shd w:val="clear" w:color="auto" w:fill="FFFFFF"/>
            <w:vAlign w:val="center"/>
          </w:tcPr>
          <w:p w:rsidR="00D30C86" w:rsidRPr="00B130AF" w:rsidP="00832D40" w14:paraId="6CA4A568" w14:textId="77777777">
            <w:pPr>
              <w:spacing w:after="0" w:line="252" w:lineRule="auto"/>
              <w:rPr>
                <w:rFonts w:ascii="Arial" w:eastAsia="Arial" w:hAnsi="Arial" w:cs="Arial"/>
                <w:color w:val="000000"/>
                <w:sz w:val="18"/>
                <w:szCs w:val="40"/>
              </w:rPr>
            </w:pPr>
            <w:r w:rsidRPr="00B130AF">
              <w:rPr>
                <w:rFonts w:ascii="Arial" w:eastAsia="Arial" w:hAnsi="Arial" w:cs="Arial"/>
                <w:color w:val="000000"/>
                <w:sz w:val="18"/>
                <w:szCs w:val="40"/>
              </w:rPr>
              <w:t>Resolution 9: Report on AI Data Sourcing Accountability</w:t>
            </w:r>
          </w:p>
        </w:tc>
      </w:tr>
      <w:tr w14:paraId="1E50C838" w14:textId="77777777">
        <w:tblPrEx>
          <w:tblW w:w="0" w:type="auto"/>
          <w:tblLayout w:type="fixed"/>
          <w:tblLook w:val="04A0"/>
        </w:tblPrEx>
        <w:trPr>
          <w:trHeight w:val="200"/>
        </w:trPr>
        <w:tc>
          <w:tcPr>
            <w:tcW w:w="3000" w:type="dxa"/>
            <w:vMerge/>
            <w:tcBorders>
              <w:top w:val="single" w:sz="4" w:space="0" w:color="FFFFFF"/>
              <w:left w:val="nil"/>
              <w:right w:val="nil"/>
            </w:tcBorders>
            <w:shd w:val="clear" w:color="auto" w:fill="FFFFFF"/>
            <w:vAlign w:val="center"/>
          </w:tcPr>
          <w:p w:rsidR="00D30C86" w:rsidRPr="00B130AF" w:rsidP="00832D40" w14:paraId="26C3DA93" w14:textId="77777777">
            <w:pPr>
              <w:spacing w:after="0" w:line="252" w:lineRule="auto"/>
              <w:rPr>
                <w:rFonts w:ascii="Arial" w:eastAsia="Arial" w:hAnsi="Arial" w:cs="Arial"/>
                <w:color w:val="000000"/>
                <w:sz w:val="18"/>
                <w:szCs w:val="40"/>
              </w:rPr>
            </w:pPr>
          </w:p>
        </w:tc>
        <w:tc>
          <w:tcPr>
            <w:tcW w:w="3000" w:type="dxa"/>
            <w:tcBorders>
              <w:top w:val="single" w:sz="4" w:space="0" w:color="FFFFFF"/>
              <w:left w:val="nil"/>
              <w:right w:val="nil"/>
            </w:tcBorders>
            <w:shd w:val="clear" w:color="auto" w:fill="FFFFFF"/>
            <w:vAlign w:val="center"/>
          </w:tcPr>
          <w:p w:rsidR="00D30C86" w:rsidRPr="00B130AF" w:rsidP="00832D40" w14:paraId="42A50049" w14:textId="77777777">
            <w:pPr>
              <w:spacing w:after="0" w:line="252" w:lineRule="auto"/>
              <w:rPr>
                <w:rFonts w:ascii="Arial" w:eastAsia="Arial" w:hAnsi="Arial" w:cs="Arial"/>
                <w:b/>
                <w:color w:val="000000"/>
                <w:sz w:val="18"/>
                <w:szCs w:val="40"/>
              </w:rPr>
            </w:pPr>
            <w:r w:rsidRPr="00B130AF">
              <w:rPr>
                <w:rFonts w:ascii="Arial" w:eastAsia="Arial" w:hAnsi="Arial" w:cs="Arial"/>
                <w:b/>
                <w:color w:val="000000"/>
                <w:sz w:val="18"/>
                <w:szCs w:val="40"/>
              </w:rPr>
              <w:t>How you voted?</w:t>
            </w:r>
          </w:p>
        </w:tc>
        <w:tc>
          <w:tcPr>
            <w:tcW w:w="4000" w:type="dxa"/>
            <w:tcBorders>
              <w:top w:val="single" w:sz="4" w:space="0" w:color="FFFFFF"/>
              <w:left w:val="nil"/>
              <w:right w:val="nil"/>
            </w:tcBorders>
            <w:shd w:val="clear" w:color="auto" w:fill="FFFFFF"/>
            <w:vAlign w:val="center"/>
          </w:tcPr>
          <w:p w:rsidR="00D30C86" w:rsidRPr="00B130AF" w:rsidP="00832D40" w14:paraId="4F08C3EA" w14:textId="77777777">
            <w:pPr>
              <w:spacing w:after="0" w:line="252" w:lineRule="auto"/>
              <w:rPr>
                <w:rFonts w:ascii="Arial" w:eastAsia="Arial" w:hAnsi="Arial" w:cs="Arial"/>
                <w:color w:val="000000"/>
                <w:sz w:val="18"/>
                <w:szCs w:val="40"/>
              </w:rPr>
            </w:pPr>
            <w:r w:rsidRPr="00B130AF">
              <w:rPr>
                <w:rFonts w:ascii="Arial" w:eastAsia="Arial" w:hAnsi="Arial" w:cs="Arial"/>
                <w:color w:val="000000"/>
                <w:sz w:val="18"/>
                <w:szCs w:val="40"/>
              </w:rPr>
              <w:t>Votes supporting resolution</w:t>
            </w:r>
          </w:p>
        </w:tc>
      </w:tr>
      <w:tr w14:paraId="5C1675AB" w14:textId="77777777">
        <w:tblPrEx>
          <w:tblW w:w="0" w:type="auto"/>
          <w:tblLayout w:type="fixed"/>
          <w:tblLook w:val="04A0"/>
        </w:tblPrEx>
        <w:trPr>
          <w:trHeight w:val="300"/>
        </w:trPr>
        <w:tc>
          <w:tcPr>
            <w:tcW w:w="3000" w:type="dxa"/>
            <w:vMerge/>
            <w:tcBorders>
              <w:top w:val="single" w:sz="4" w:space="0" w:color="FFFFFF"/>
              <w:left w:val="nil"/>
              <w:right w:val="nil"/>
            </w:tcBorders>
            <w:shd w:val="clear" w:color="auto" w:fill="FFFFFF"/>
            <w:vAlign w:val="center"/>
          </w:tcPr>
          <w:p w:rsidR="00D30C86" w:rsidRPr="00B130AF" w:rsidP="00832D40" w14:paraId="1C1DC884" w14:textId="77777777">
            <w:pPr>
              <w:spacing w:after="0" w:line="252" w:lineRule="auto"/>
              <w:rPr>
                <w:rFonts w:ascii="Arial" w:eastAsia="Arial" w:hAnsi="Arial" w:cs="Arial"/>
                <w:color w:val="000000"/>
                <w:sz w:val="18"/>
                <w:szCs w:val="40"/>
              </w:rPr>
            </w:pPr>
          </w:p>
        </w:tc>
        <w:tc>
          <w:tcPr>
            <w:tcW w:w="3000" w:type="dxa"/>
            <w:tcBorders>
              <w:top w:val="single" w:sz="4" w:space="0" w:color="FFFFFF"/>
              <w:left w:val="nil"/>
              <w:right w:val="nil"/>
            </w:tcBorders>
            <w:shd w:val="clear" w:color="auto" w:fill="FFFFFF"/>
            <w:vAlign w:val="center"/>
          </w:tcPr>
          <w:p w:rsidR="00D30C86" w:rsidRPr="00B130AF" w:rsidP="00832D40" w14:paraId="3DA21DF6" w14:textId="77777777">
            <w:pPr>
              <w:spacing w:after="0" w:line="252" w:lineRule="auto"/>
              <w:rPr>
                <w:rFonts w:ascii="Arial" w:eastAsia="Arial" w:hAnsi="Arial" w:cs="Arial"/>
                <w:b/>
                <w:color w:val="000000"/>
                <w:sz w:val="18"/>
                <w:szCs w:val="40"/>
              </w:rPr>
            </w:pPr>
            <w:r w:rsidRPr="00B130AF">
              <w:rPr>
                <w:rFonts w:ascii="Arial" w:eastAsia="Arial" w:hAnsi="Arial" w:cs="Arial"/>
                <w:b/>
                <w:color w:val="000000"/>
                <w:sz w:val="18"/>
                <w:szCs w:val="40"/>
              </w:rPr>
              <w:t>Where you voted against</w:t>
            </w:r>
          </w:p>
          <w:p w:rsidR="00D30C86" w:rsidRPr="00B130AF" w:rsidP="00832D40" w14:paraId="0F642E14" w14:textId="77777777">
            <w:pPr>
              <w:spacing w:after="0" w:line="252" w:lineRule="auto"/>
              <w:rPr>
                <w:rFonts w:ascii="Arial" w:eastAsia="Arial" w:hAnsi="Arial" w:cs="Arial"/>
                <w:b/>
                <w:color w:val="000000"/>
                <w:sz w:val="18"/>
                <w:szCs w:val="40"/>
              </w:rPr>
            </w:pPr>
            <w:r w:rsidRPr="00B130AF">
              <w:rPr>
                <w:rFonts w:ascii="Arial" w:eastAsia="Arial" w:hAnsi="Arial" w:cs="Arial"/>
                <w:b/>
                <w:color w:val="000000"/>
                <w:sz w:val="18"/>
                <w:szCs w:val="40"/>
              </w:rPr>
              <w:t xml:space="preserve">management, did you </w:t>
            </w:r>
          </w:p>
          <w:p w:rsidR="00D30C86" w:rsidRPr="00B130AF" w:rsidP="00832D40" w14:paraId="1148623A" w14:textId="77777777">
            <w:pPr>
              <w:spacing w:after="0" w:line="252" w:lineRule="auto"/>
              <w:rPr>
                <w:rFonts w:ascii="Arial" w:eastAsia="Arial" w:hAnsi="Arial" w:cs="Arial"/>
                <w:b/>
                <w:color w:val="000000"/>
                <w:sz w:val="18"/>
                <w:szCs w:val="40"/>
              </w:rPr>
            </w:pPr>
            <w:r w:rsidRPr="00B130AF">
              <w:rPr>
                <w:rFonts w:ascii="Arial" w:eastAsia="Arial" w:hAnsi="Arial" w:cs="Arial"/>
                <w:b/>
                <w:color w:val="000000"/>
                <w:sz w:val="18"/>
                <w:szCs w:val="40"/>
              </w:rPr>
              <w:t>communicate your intent to the</w:t>
            </w:r>
          </w:p>
          <w:p w:rsidR="00D30C86" w:rsidRPr="00B130AF" w:rsidP="00832D40" w14:paraId="20ECFDF3" w14:textId="77777777">
            <w:pPr>
              <w:spacing w:after="0" w:line="252" w:lineRule="auto"/>
              <w:rPr>
                <w:rFonts w:ascii="Arial" w:eastAsia="Arial" w:hAnsi="Arial" w:cs="Arial"/>
                <w:b/>
                <w:color w:val="000000"/>
                <w:sz w:val="18"/>
                <w:szCs w:val="40"/>
              </w:rPr>
            </w:pPr>
            <w:r w:rsidRPr="00B130AF">
              <w:rPr>
                <w:rFonts w:ascii="Arial" w:eastAsia="Arial" w:hAnsi="Arial" w:cs="Arial"/>
                <w:b/>
                <w:color w:val="000000"/>
                <w:sz w:val="18"/>
                <w:szCs w:val="40"/>
              </w:rPr>
              <w:t>company ahead of the vote?</w:t>
            </w:r>
          </w:p>
        </w:tc>
        <w:tc>
          <w:tcPr>
            <w:tcW w:w="4000" w:type="dxa"/>
            <w:tcBorders>
              <w:top w:val="single" w:sz="4" w:space="0" w:color="FFFFFF"/>
              <w:left w:val="nil"/>
              <w:right w:val="nil"/>
            </w:tcBorders>
            <w:shd w:val="clear" w:color="auto" w:fill="FFFFFF"/>
            <w:vAlign w:val="center"/>
          </w:tcPr>
          <w:p w:rsidR="00D30C86" w:rsidRPr="00B130AF" w:rsidP="00832D40" w14:paraId="3ED71391" w14:textId="77777777">
            <w:pPr>
              <w:spacing w:after="0" w:line="252" w:lineRule="auto"/>
              <w:rPr>
                <w:rFonts w:ascii="Arial" w:eastAsia="Arial" w:hAnsi="Arial" w:cs="Arial"/>
                <w:color w:val="000000"/>
                <w:sz w:val="18"/>
                <w:szCs w:val="40"/>
              </w:rPr>
            </w:pPr>
            <w:r w:rsidRPr="00B130AF">
              <w:rPr>
                <w:rFonts w:ascii="Arial" w:eastAsia="Arial" w:hAnsi="Arial" w:cs="Arial"/>
                <w:color w:val="000000"/>
                <w:sz w:val="18"/>
                <w:szCs w:val="40"/>
              </w:rPr>
              <w:t>LGIM publicly communicates its vote instructions on its website with the rationale for all votes against management. It is our policy not to engage with our investee companies in the three weeks prior to an AGM as our engagement is not limited to shareholder meeting topics.</w:t>
            </w:r>
          </w:p>
        </w:tc>
      </w:tr>
      <w:tr w14:paraId="0970DB82" w14:textId="77777777">
        <w:tblPrEx>
          <w:tblW w:w="0" w:type="auto"/>
          <w:tblLayout w:type="fixed"/>
          <w:tblLook w:val="04A0"/>
        </w:tblPrEx>
        <w:trPr>
          <w:trHeight w:val="200"/>
        </w:trPr>
        <w:tc>
          <w:tcPr>
            <w:tcW w:w="3000" w:type="dxa"/>
            <w:vMerge/>
            <w:tcBorders>
              <w:top w:val="single" w:sz="4" w:space="0" w:color="FFFFFF"/>
              <w:left w:val="nil"/>
              <w:right w:val="nil"/>
            </w:tcBorders>
            <w:shd w:val="clear" w:color="auto" w:fill="FFFFFF"/>
            <w:vAlign w:val="center"/>
          </w:tcPr>
          <w:p w:rsidR="00D30C86" w:rsidRPr="00B130AF" w:rsidP="00832D40" w14:paraId="64AD12B6" w14:textId="77777777">
            <w:pPr>
              <w:spacing w:after="0" w:line="252" w:lineRule="auto"/>
              <w:rPr>
                <w:rFonts w:ascii="Arial" w:eastAsia="Arial" w:hAnsi="Arial" w:cs="Arial"/>
                <w:color w:val="000000"/>
                <w:sz w:val="18"/>
                <w:szCs w:val="40"/>
              </w:rPr>
            </w:pPr>
          </w:p>
        </w:tc>
        <w:tc>
          <w:tcPr>
            <w:tcW w:w="3000" w:type="dxa"/>
            <w:tcBorders>
              <w:top w:val="single" w:sz="4" w:space="0" w:color="FFFFFF"/>
              <w:left w:val="nil"/>
              <w:right w:val="nil"/>
            </w:tcBorders>
            <w:shd w:val="clear" w:color="auto" w:fill="FFFFFF"/>
            <w:vAlign w:val="center"/>
          </w:tcPr>
          <w:p w:rsidR="00D30C86" w:rsidRPr="00B130AF" w:rsidP="00832D40" w14:paraId="5EB3B80B" w14:textId="77777777">
            <w:pPr>
              <w:spacing w:after="0" w:line="252" w:lineRule="auto"/>
              <w:rPr>
                <w:rFonts w:ascii="Arial" w:eastAsia="Arial" w:hAnsi="Arial" w:cs="Arial"/>
                <w:b/>
                <w:color w:val="000000"/>
                <w:sz w:val="18"/>
                <w:szCs w:val="40"/>
              </w:rPr>
            </w:pPr>
            <w:r w:rsidRPr="00B130AF">
              <w:rPr>
                <w:rFonts w:ascii="Arial" w:eastAsia="Arial" w:hAnsi="Arial" w:cs="Arial"/>
                <w:b/>
                <w:color w:val="000000"/>
                <w:sz w:val="18"/>
                <w:szCs w:val="40"/>
              </w:rPr>
              <w:t>Rationale for the voting</w:t>
            </w:r>
          </w:p>
          <w:p w:rsidR="00D30C86" w:rsidRPr="00B130AF" w:rsidP="00832D40" w14:paraId="2FA8555D" w14:textId="77777777">
            <w:pPr>
              <w:spacing w:after="0" w:line="252" w:lineRule="auto"/>
              <w:rPr>
                <w:rFonts w:ascii="Arial" w:eastAsia="Arial" w:hAnsi="Arial" w:cs="Arial"/>
                <w:b/>
                <w:color w:val="000000"/>
                <w:sz w:val="18"/>
                <w:szCs w:val="40"/>
              </w:rPr>
            </w:pPr>
            <w:r w:rsidRPr="00B130AF">
              <w:rPr>
                <w:rFonts w:ascii="Arial" w:eastAsia="Arial" w:hAnsi="Arial" w:cs="Arial"/>
                <w:b/>
                <w:color w:val="000000"/>
                <w:sz w:val="18"/>
                <w:szCs w:val="40"/>
              </w:rPr>
              <w:t>decision</w:t>
            </w:r>
          </w:p>
        </w:tc>
        <w:tc>
          <w:tcPr>
            <w:tcW w:w="4000" w:type="dxa"/>
            <w:tcBorders>
              <w:top w:val="single" w:sz="4" w:space="0" w:color="FFFFFF"/>
              <w:left w:val="nil"/>
              <w:right w:val="nil"/>
            </w:tcBorders>
            <w:shd w:val="clear" w:color="auto" w:fill="FFFFFF"/>
            <w:vAlign w:val="center"/>
          </w:tcPr>
          <w:p w:rsidR="00D30C86" w:rsidRPr="00B130AF" w:rsidP="00832D40" w14:paraId="67DFA2AE" w14:textId="77777777">
            <w:pPr>
              <w:spacing w:after="0" w:line="252" w:lineRule="auto"/>
              <w:rPr>
                <w:rFonts w:ascii="Arial" w:eastAsia="Arial" w:hAnsi="Arial" w:cs="Arial"/>
                <w:color w:val="000000"/>
                <w:sz w:val="18"/>
                <w:szCs w:val="40"/>
              </w:rPr>
            </w:pPr>
            <w:r w:rsidRPr="00B130AF">
              <w:rPr>
                <w:rFonts w:ascii="Arial" w:eastAsia="Arial" w:hAnsi="Arial" w:cs="Arial"/>
                <w:color w:val="000000"/>
                <w:sz w:val="18"/>
                <w:szCs w:val="40"/>
              </w:rPr>
              <w:t>Shareholder Resolution - Governance: A vote FOR this resolution is warranted as the company is facing increased legal and reputational risks related to copyright infringement associated with its data sourcing practices. While the company has strong disclosures on its approach to responsible AI and related risks, shareholders would benefit from greater attention to risks related to how the company uses third-party information to train its large language models.</w:t>
            </w:r>
          </w:p>
        </w:tc>
      </w:tr>
      <w:tr w14:paraId="6722B70B" w14:textId="77777777">
        <w:tblPrEx>
          <w:tblW w:w="0" w:type="auto"/>
          <w:tblLayout w:type="fixed"/>
          <w:tblLook w:val="04A0"/>
        </w:tblPrEx>
        <w:trPr>
          <w:trHeight w:hRule="exact" w:val="200"/>
        </w:trPr>
        <w:tc>
          <w:tcPr>
            <w:tcW w:w="3000" w:type="dxa"/>
            <w:vMerge/>
            <w:tcBorders>
              <w:top w:val="single" w:sz="4" w:space="0" w:color="FFFFFF"/>
              <w:left w:val="nil"/>
              <w:right w:val="nil"/>
            </w:tcBorders>
            <w:shd w:val="clear" w:color="auto" w:fill="FFFFFF"/>
            <w:vAlign w:val="center"/>
          </w:tcPr>
          <w:p w:rsidR="00D30C86" w:rsidRPr="00B130AF" w:rsidP="00832D40" w14:paraId="49A1CC17" w14:textId="77777777">
            <w:pPr>
              <w:spacing w:after="0" w:line="252" w:lineRule="auto"/>
              <w:rPr>
                <w:rFonts w:ascii="Arial" w:eastAsia="Arial" w:hAnsi="Arial" w:cs="Arial"/>
                <w:color w:val="000000"/>
                <w:sz w:val="18"/>
                <w:szCs w:val="40"/>
              </w:rPr>
            </w:pPr>
          </w:p>
        </w:tc>
        <w:tc>
          <w:tcPr>
            <w:tcW w:w="3000" w:type="dxa"/>
            <w:tcBorders>
              <w:top w:val="single" w:sz="4" w:space="0" w:color="FFFFFF"/>
              <w:left w:val="nil"/>
              <w:right w:val="nil"/>
            </w:tcBorders>
            <w:shd w:val="clear" w:color="auto" w:fill="FFFFFF"/>
            <w:vAlign w:val="center"/>
          </w:tcPr>
          <w:p w:rsidR="00D30C86" w:rsidRPr="00B130AF" w:rsidP="00832D40" w14:paraId="5F1F5B3B" w14:textId="77777777">
            <w:pPr>
              <w:spacing w:after="0" w:line="252" w:lineRule="auto"/>
              <w:rPr>
                <w:rFonts w:ascii="Arial" w:eastAsia="Arial" w:hAnsi="Arial" w:cs="Arial"/>
                <w:b/>
                <w:color w:val="000000"/>
                <w:sz w:val="18"/>
                <w:szCs w:val="40"/>
              </w:rPr>
            </w:pPr>
            <w:r w:rsidRPr="00B130AF">
              <w:rPr>
                <w:rFonts w:ascii="Arial" w:eastAsia="Arial" w:hAnsi="Arial" w:cs="Arial"/>
                <w:b/>
                <w:color w:val="000000"/>
                <w:sz w:val="18"/>
                <w:szCs w:val="40"/>
              </w:rPr>
              <w:t>Outcome of the vote</w:t>
            </w:r>
          </w:p>
        </w:tc>
        <w:tc>
          <w:tcPr>
            <w:tcW w:w="4000" w:type="dxa"/>
            <w:tcBorders>
              <w:top w:val="single" w:sz="4" w:space="0" w:color="FFFFFF"/>
              <w:left w:val="nil"/>
              <w:right w:val="nil"/>
            </w:tcBorders>
            <w:shd w:val="clear" w:color="auto" w:fill="FFFFFF"/>
            <w:vAlign w:val="center"/>
          </w:tcPr>
          <w:p w:rsidR="00D30C86" w:rsidRPr="00B130AF" w:rsidP="00832D40" w14:paraId="50FBCE35" w14:textId="77777777">
            <w:pPr>
              <w:spacing w:after="0" w:line="252" w:lineRule="auto"/>
              <w:rPr>
                <w:rFonts w:ascii="Arial" w:eastAsia="Arial" w:hAnsi="Arial" w:cs="Arial"/>
                <w:color w:val="000000"/>
                <w:sz w:val="18"/>
                <w:szCs w:val="40"/>
              </w:rPr>
            </w:pPr>
            <w:r w:rsidRPr="00B130AF">
              <w:rPr>
                <w:rFonts w:ascii="Arial" w:eastAsia="Arial" w:hAnsi="Arial" w:cs="Arial"/>
                <w:color w:val="000000"/>
                <w:sz w:val="18"/>
                <w:szCs w:val="40"/>
              </w:rPr>
              <w:t>Fail</w:t>
            </w:r>
          </w:p>
        </w:tc>
      </w:tr>
      <w:tr w14:paraId="4E695748" w14:textId="77777777">
        <w:tblPrEx>
          <w:tblW w:w="0" w:type="auto"/>
          <w:tblLayout w:type="fixed"/>
          <w:tblLook w:val="04A0"/>
        </w:tblPrEx>
        <w:tc>
          <w:tcPr>
            <w:tcW w:w="3000" w:type="dxa"/>
            <w:vMerge/>
            <w:tcBorders>
              <w:top w:val="single" w:sz="4" w:space="0" w:color="FFFFFF"/>
              <w:left w:val="nil"/>
              <w:right w:val="nil"/>
            </w:tcBorders>
            <w:shd w:val="clear" w:color="auto" w:fill="FFFFFF"/>
            <w:vAlign w:val="center"/>
          </w:tcPr>
          <w:p w:rsidR="00D30C86" w:rsidRPr="00B130AF" w:rsidP="00832D40" w14:paraId="39D52180" w14:textId="77777777">
            <w:pPr>
              <w:spacing w:after="0" w:line="252" w:lineRule="auto"/>
              <w:rPr>
                <w:rFonts w:ascii="Arial" w:eastAsia="Arial" w:hAnsi="Arial" w:cs="Arial"/>
                <w:color w:val="000000"/>
                <w:sz w:val="18"/>
                <w:szCs w:val="40"/>
              </w:rPr>
            </w:pPr>
          </w:p>
        </w:tc>
        <w:tc>
          <w:tcPr>
            <w:tcW w:w="3000" w:type="dxa"/>
            <w:tcBorders>
              <w:top w:val="single" w:sz="4" w:space="0" w:color="FFFFFF"/>
              <w:left w:val="nil"/>
              <w:right w:val="nil"/>
            </w:tcBorders>
            <w:shd w:val="clear" w:color="auto" w:fill="FFFFFF"/>
            <w:vAlign w:val="center"/>
          </w:tcPr>
          <w:p w:rsidR="00D30C86" w:rsidRPr="00B130AF" w:rsidP="00832D40" w14:paraId="4072F2AF" w14:textId="77777777">
            <w:pPr>
              <w:spacing w:after="0" w:line="252" w:lineRule="auto"/>
              <w:rPr>
                <w:rFonts w:ascii="Arial" w:eastAsia="Arial" w:hAnsi="Arial" w:cs="Arial"/>
                <w:b/>
                <w:color w:val="000000"/>
                <w:sz w:val="18"/>
                <w:szCs w:val="40"/>
              </w:rPr>
            </w:pPr>
            <w:r w:rsidRPr="00B130AF">
              <w:rPr>
                <w:rFonts w:ascii="Arial" w:eastAsia="Arial" w:hAnsi="Arial" w:cs="Arial"/>
                <w:b/>
                <w:color w:val="000000"/>
                <w:sz w:val="18"/>
                <w:szCs w:val="40"/>
              </w:rPr>
              <w:t xml:space="preserve">Implications of the outcome eg </w:t>
            </w:r>
          </w:p>
          <w:p w:rsidR="00D30C86" w:rsidRPr="00B130AF" w:rsidP="00832D40" w14:paraId="14D4EC7B" w14:textId="77777777">
            <w:pPr>
              <w:spacing w:after="0" w:line="252" w:lineRule="auto"/>
              <w:rPr>
                <w:rFonts w:ascii="Arial" w:eastAsia="Arial" w:hAnsi="Arial" w:cs="Arial"/>
                <w:b/>
                <w:color w:val="000000"/>
                <w:sz w:val="18"/>
                <w:szCs w:val="40"/>
              </w:rPr>
            </w:pPr>
            <w:r w:rsidRPr="00B130AF">
              <w:rPr>
                <w:rFonts w:ascii="Arial" w:eastAsia="Arial" w:hAnsi="Arial" w:cs="Arial"/>
                <w:b/>
                <w:color w:val="000000"/>
                <w:sz w:val="18"/>
                <w:szCs w:val="40"/>
              </w:rPr>
              <w:t xml:space="preserve">were there any lessons learned </w:t>
            </w:r>
          </w:p>
          <w:p w:rsidR="00D30C86" w:rsidRPr="00B130AF" w:rsidP="00832D40" w14:paraId="4780FA68" w14:textId="77777777">
            <w:pPr>
              <w:spacing w:after="0" w:line="252" w:lineRule="auto"/>
              <w:rPr>
                <w:rFonts w:ascii="Arial" w:eastAsia="Arial" w:hAnsi="Arial" w:cs="Arial"/>
                <w:b/>
                <w:color w:val="000000"/>
                <w:sz w:val="18"/>
                <w:szCs w:val="40"/>
              </w:rPr>
            </w:pPr>
            <w:r w:rsidRPr="00B130AF">
              <w:rPr>
                <w:rFonts w:ascii="Arial" w:eastAsia="Arial" w:hAnsi="Arial" w:cs="Arial"/>
                <w:b/>
                <w:color w:val="000000"/>
                <w:sz w:val="18"/>
                <w:szCs w:val="40"/>
              </w:rPr>
              <w:t xml:space="preserve">and what likely future steps will </w:t>
            </w:r>
          </w:p>
          <w:p w:rsidR="00D30C86" w:rsidRPr="00B130AF" w:rsidP="00832D40" w14:paraId="3A134BD0" w14:textId="77777777">
            <w:pPr>
              <w:spacing w:after="0" w:line="252" w:lineRule="auto"/>
              <w:rPr>
                <w:rFonts w:ascii="Arial" w:eastAsia="Arial" w:hAnsi="Arial" w:cs="Arial"/>
                <w:b/>
                <w:color w:val="000000"/>
                <w:sz w:val="18"/>
                <w:szCs w:val="40"/>
              </w:rPr>
            </w:pPr>
            <w:r w:rsidRPr="00B130AF">
              <w:rPr>
                <w:rFonts w:ascii="Arial" w:eastAsia="Arial" w:hAnsi="Arial" w:cs="Arial"/>
                <w:b/>
                <w:color w:val="000000"/>
                <w:sz w:val="18"/>
                <w:szCs w:val="40"/>
              </w:rPr>
              <w:t xml:space="preserve">you take in response to the </w:t>
            </w:r>
          </w:p>
          <w:p w:rsidR="00D30C86" w:rsidRPr="00B130AF" w:rsidP="00832D40" w14:paraId="115030D9" w14:textId="77777777">
            <w:pPr>
              <w:spacing w:after="0" w:line="252" w:lineRule="auto"/>
              <w:rPr>
                <w:rFonts w:ascii="Arial" w:eastAsia="Arial" w:hAnsi="Arial" w:cs="Arial"/>
                <w:b/>
                <w:color w:val="000000"/>
                <w:sz w:val="18"/>
                <w:szCs w:val="40"/>
              </w:rPr>
            </w:pPr>
            <w:r w:rsidRPr="00B130AF">
              <w:rPr>
                <w:rFonts w:ascii="Arial" w:eastAsia="Arial" w:hAnsi="Arial" w:cs="Arial"/>
                <w:b/>
                <w:color w:val="000000"/>
                <w:sz w:val="18"/>
                <w:szCs w:val="40"/>
              </w:rPr>
              <w:t>outcome?</w:t>
            </w:r>
          </w:p>
        </w:tc>
        <w:tc>
          <w:tcPr>
            <w:tcW w:w="4000" w:type="dxa"/>
            <w:tcBorders>
              <w:top w:val="single" w:sz="4" w:space="0" w:color="FFFFFF"/>
              <w:left w:val="nil"/>
              <w:right w:val="nil"/>
            </w:tcBorders>
            <w:shd w:val="clear" w:color="auto" w:fill="FFFFFF"/>
            <w:vAlign w:val="center"/>
          </w:tcPr>
          <w:p w:rsidR="00D30C86" w:rsidRPr="00B130AF" w:rsidP="00832D40" w14:paraId="4C6EB6D8" w14:textId="77777777">
            <w:pPr>
              <w:spacing w:after="0" w:line="252" w:lineRule="auto"/>
              <w:rPr>
                <w:rFonts w:ascii="Arial" w:eastAsia="Arial" w:hAnsi="Arial" w:cs="Arial"/>
                <w:color w:val="000000"/>
                <w:sz w:val="18"/>
                <w:szCs w:val="40"/>
              </w:rPr>
            </w:pPr>
            <w:r w:rsidRPr="00B130AF">
              <w:rPr>
                <w:rFonts w:ascii="Arial" w:eastAsia="Arial" w:hAnsi="Arial" w:cs="Arial"/>
                <w:color w:val="000000"/>
                <w:sz w:val="18"/>
                <w:szCs w:val="40"/>
              </w:rPr>
              <w:t>LGIM will continue to engage with our investee companies, publicly advocate our position on this issue and monitor company and market-level progress.</w:t>
            </w:r>
          </w:p>
        </w:tc>
      </w:tr>
      <w:tr w14:paraId="755567F7" w14:textId="77777777">
        <w:tblPrEx>
          <w:tblW w:w="0" w:type="auto"/>
          <w:tblLayout w:type="fixed"/>
          <w:tblLook w:val="04A0"/>
        </w:tblPrEx>
        <w:trPr>
          <w:trHeight w:val="200"/>
        </w:trPr>
        <w:tc>
          <w:tcPr>
            <w:tcW w:w="3000" w:type="dxa"/>
            <w:vMerge/>
            <w:tcBorders>
              <w:top w:val="single" w:sz="4" w:space="0" w:color="FFFFFF"/>
              <w:left w:val="nil"/>
              <w:right w:val="nil"/>
            </w:tcBorders>
            <w:shd w:val="clear" w:color="auto" w:fill="FFFFFF"/>
            <w:vAlign w:val="center"/>
          </w:tcPr>
          <w:p w:rsidR="00D30C86" w:rsidRPr="00B130AF" w:rsidP="00832D40" w14:paraId="3A4644B1" w14:textId="77777777">
            <w:pPr>
              <w:spacing w:after="0" w:line="252" w:lineRule="auto"/>
              <w:rPr>
                <w:rFonts w:ascii="Arial" w:eastAsia="Arial" w:hAnsi="Arial" w:cs="Arial"/>
                <w:color w:val="000000"/>
                <w:sz w:val="18"/>
                <w:szCs w:val="40"/>
              </w:rPr>
            </w:pPr>
          </w:p>
        </w:tc>
        <w:tc>
          <w:tcPr>
            <w:tcW w:w="3000" w:type="dxa"/>
            <w:tcBorders>
              <w:top w:val="single" w:sz="4" w:space="0" w:color="FFFFFF"/>
              <w:left w:val="nil"/>
              <w:right w:val="nil"/>
            </w:tcBorders>
            <w:shd w:val="clear" w:color="auto" w:fill="FFFFFF"/>
            <w:vAlign w:val="center"/>
          </w:tcPr>
          <w:p w:rsidR="00D30C86" w:rsidRPr="00B130AF" w:rsidP="00832D40" w14:paraId="34C6047B" w14:textId="77777777">
            <w:pPr>
              <w:spacing w:after="0" w:line="252" w:lineRule="auto"/>
              <w:rPr>
                <w:rFonts w:ascii="Arial" w:eastAsia="Arial" w:hAnsi="Arial" w:cs="Arial"/>
                <w:b/>
                <w:color w:val="000000"/>
                <w:sz w:val="18"/>
                <w:szCs w:val="40"/>
              </w:rPr>
            </w:pPr>
            <w:r w:rsidRPr="00B130AF">
              <w:rPr>
                <w:rFonts w:ascii="Arial" w:eastAsia="Arial" w:hAnsi="Arial" w:cs="Arial"/>
                <w:b/>
                <w:color w:val="000000"/>
                <w:sz w:val="18"/>
                <w:szCs w:val="40"/>
              </w:rPr>
              <w:t xml:space="preserve">On which criteria have you </w:t>
            </w:r>
          </w:p>
          <w:p w:rsidR="00D30C86" w:rsidRPr="00B130AF" w:rsidP="00832D40" w14:paraId="2BA6B5C8" w14:textId="77777777">
            <w:pPr>
              <w:spacing w:after="0" w:line="252" w:lineRule="auto"/>
              <w:rPr>
                <w:rFonts w:ascii="Arial" w:eastAsia="Arial" w:hAnsi="Arial" w:cs="Arial"/>
                <w:b/>
                <w:color w:val="000000"/>
                <w:sz w:val="18"/>
                <w:szCs w:val="40"/>
              </w:rPr>
            </w:pPr>
            <w:r w:rsidRPr="00B130AF">
              <w:rPr>
                <w:rFonts w:ascii="Arial" w:eastAsia="Arial" w:hAnsi="Arial" w:cs="Arial"/>
                <w:b/>
                <w:color w:val="000000"/>
                <w:sz w:val="18"/>
                <w:szCs w:val="40"/>
              </w:rPr>
              <w:t xml:space="preserve">assessed this vote to be most </w:t>
            </w:r>
          </w:p>
          <w:p w:rsidR="00D30C86" w:rsidRPr="00B130AF" w:rsidP="00832D40" w14:paraId="35987DFE" w14:textId="77777777">
            <w:pPr>
              <w:spacing w:after="0" w:line="252" w:lineRule="auto"/>
              <w:rPr>
                <w:rFonts w:ascii="Arial" w:eastAsia="Arial" w:hAnsi="Arial" w:cs="Arial"/>
                <w:b/>
                <w:color w:val="000000"/>
                <w:sz w:val="18"/>
                <w:szCs w:val="40"/>
              </w:rPr>
            </w:pPr>
            <w:r w:rsidRPr="00B130AF">
              <w:rPr>
                <w:rFonts w:ascii="Arial" w:eastAsia="Arial" w:hAnsi="Arial" w:cs="Arial"/>
                <w:b/>
                <w:color w:val="000000"/>
                <w:sz w:val="18"/>
                <w:szCs w:val="40"/>
              </w:rPr>
              <w:t>significant?</w:t>
            </w:r>
          </w:p>
        </w:tc>
        <w:tc>
          <w:tcPr>
            <w:tcW w:w="4000" w:type="dxa"/>
            <w:tcBorders>
              <w:top w:val="single" w:sz="4" w:space="0" w:color="FFFFFF"/>
              <w:left w:val="nil"/>
              <w:right w:val="nil"/>
            </w:tcBorders>
            <w:shd w:val="clear" w:color="auto" w:fill="FFFFFF"/>
            <w:vAlign w:val="center"/>
          </w:tcPr>
          <w:p w:rsidR="00D30C86" w:rsidRPr="00B130AF" w:rsidP="00832D40" w14:paraId="362645ED" w14:textId="77777777">
            <w:pPr>
              <w:spacing w:after="0" w:line="252" w:lineRule="auto"/>
              <w:rPr>
                <w:rFonts w:ascii="Arial" w:eastAsia="Arial" w:hAnsi="Arial" w:cs="Arial"/>
                <w:color w:val="000000"/>
                <w:sz w:val="18"/>
                <w:szCs w:val="40"/>
              </w:rPr>
            </w:pPr>
            <w:r w:rsidRPr="00B130AF">
              <w:rPr>
                <w:rFonts w:ascii="Arial" w:eastAsia="Arial" w:hAnsi="Arial" w:cs="Arial"/>
                <w:color w:val="000000"/>
                <w:sz w:val="18"/>
                <w:szCs w:val="40"/>
              </w:rPr>
              <w:t>High Profile meeting: This shareholder resolution is considered significant due to the relatively high level of support received.</w:t>
            </w:r>
          </w:p>
        </w:tc>
      </w:tr>
      <w:tr w14:paraId="5FA29A62" w14:textId="77777777" w:rsidTr="003645E5">
        <w:tblPrEx>
          <w:tblW w:w="0" w:type="auto"/>
          <w:tblLayout w:type="fixed"/>
          <w:tblLook w:val="04A0"/>
        </w:tblPrEx>
        <w:trPr>
          <w:trHeight w:val="240"/>
        </w:trPr>
        <w:tc>
          <w:tcPr>
            <w:tcW w:w="3000" w:type="dxa"/>
            <w:vMerge w:val="restart"/>
            <w:tcBorders>
              <w:top w:val="single" w:sz="4" w:space="0" w:color="FFFFFF"/>
              <w:left w:val="nil"/>
              <w:bottom w:val="single" w:sz="4" w:space="0" w:color="auto"/>
              <w:right w:val="nil"/>
            </w:tcBorders>
            <w:shd w:val="clear" w:color="auto" w:fill="FFFFFF"/>
            <w:hideMark/>
          </w:tcPr>
          <w:p w:rsidR="003645E5" w14:paraId="4BBCF71A" w14:textId="77777777">
            <w:pPr>
              <w:spacing w:after="0" w:line="252" w:lineRule="auto"/>
              <w:rPr>
                <w:rFonts w:ascii="Arial" w:eastAsia="Arial" w:hAnsi="Arial" w:cs="Arial"/>
                <w:b/>
                <w:color w:val="000000"/>
                <w:sz w:val="18"/>
                <w:szCs w:val="40"/>
              </w:rPr>
            </w:pPr>
            <w:r>
              <w:rPr>
                <w:rFonts w:ascii="Arial" w:eastAsia="Arial" w:hAnsi="Arial" w:cs="Arial"/>
                <w:b/>
                <w:color w:val="000000"/>
                <w:sz w:val="18"/>
                <w:szCs w:val="40"/>
              </w:rPr>
              <w:t>UBS - Global Equity Climate Transition Fund</w:t>
            </w:r>
          </w:p>
        </w:tc>
        <w:tc>
          <w:tcPr>
            <w:tcW w:w="3000" w:type="dxa"/>
            <w:tcBorders>
              <w:top w:val="single" w:sz="4" w:space="0" w:color="FFFFFF"/>
              <w:left w:val="nil"/>
              <w:bottom w:val="single" w:sz="4" w:space="0" w:color="auto"/>
              <w:right w:val="nil"/>
            </w:tcBorders>
            <w:shd w:val="clear" w:color="auto" w:fill="FFFFFF"/>
            <w:vAlign w:val="center"/>
            <w:hideMark/>
          </w:tcPr>
          <w:p w:rsidR="003645E5" w14:paraId="2B60872C" w14:textId="77777777">
            <w:pPr>
              <w:spacing w:after="0" w:line="252" w:lineRule="auto"/>
              <w:rPr>
                <w:rFonts w:ascii="Arial" w:eastAsia="Arial" w:hAnsi="Arial" w:cs="Arial"/>
                <w:b/>
                <w:color w:val="000000"/>
                <w:sz w:val="18"/>
                <w:szCs w:val="40"/>
              </w:rPr>
            </w:pPr>
            <w:r>
              <w:rPr>
                <w:rFonts w:ascii="Arial" w:eastAsia="Arial" w:hAnsi="Arial" w:cs="Arial"/>
                <w:b/>
                <w:color w:val="000000"/>
                <w:sz w:val="18"/>
                <w:szCs w:val="40"/>
              </w:rPr>
              <w:t>Company name</w:t>
            </w:r>
          </w:p>
        </w:tc>
        <w:tc>
          <w:tcPr>
            <w:tcW w:w="4000" w:type="dxa"/>
            <w:tcBorders>
              <w:top w:val="single" w:sz="4" w:space="0" w:color="FFFFFF"/>
              <w:left w:val="nil"/>
              <w:bottom w:val="single" w:sz="4" w:space="0" w:color="auto"/>
              <w:right w:val="nil"/>
            </w:tcBorders>
            <w:shd w:val="clear" w:color="auto" w:fill="FFFFFF"/>
            <w:vAlign w:val="center"/>
            <w:hideMark/>
          </w:tcPr>
          <w:p w:rsidR="003645E5" w14:paraId="312E7DF3" w14:textId="77777777">
            <w:pPr>
              <w:spacing w:after="0" w:line="252" w:lineRule="auto"/>
              <w:rPr>
                <w:rFonts w:ascii="Arial" w:eastAsia="Arial" w:hAnsi="Arial" w:cs="Arial"/>
                <w:color w:val="000000"/>
                <w:sz w:val="18"/>
                <w:szCs w:val="40"/>
              </w:rPr>
            </w:pPr>
            <w:r>
              <w:rPr>
                <w:rFonts w:ascii="Arial" w:hAnsi="Arial" w:cs="Arial"/>
                <w:color w:val="000000"/>
                <w:sz w:val="18"/>
                <w:szCs w:val="40"/>
              </w:rPr>
              <w:t>International Business Machines Corporation</w:t>
            </w:r>
          </w:p>
        </w:tc>
      </w:tr>
      <w:tr w14:paraId="317B43D0" w14:textId="77777777" w:rsidTr="003645E5">
        <w:tblPrEx>
          <w:tblW w:w="0" w:type="auto"/>
          <w:tblLayout w:type="fixed"/>
          <w:tblLook w:val="04A0"/>
        </w:tblPrEx>
        <w:trPr>
          <w:trHeight w:val="240"/>
        </w:trPr>
        <w:tc>
          <w:tcPr>
            <w:tcW w:w="3000" w:type="dxa"/>
            <w:vMerge/>
            <w:tcBorders>
              <w:top w:val="single" w:sz="4" w:space="0" w:color="FFFFFF"/>
              <w:left w:val="nil"/>
              <w:bottom w:val="single" w:sz="4" w:space="0" w:color="auto"/>
              <w:right w:val="nil"/>
            </w:tcBorders>
            <w:vAlign w:val="center"/>
            <w:hideMark/>
          </w:tcPr>
          <w:p w:rsidR="003645E5" w14:paraId="7C0989E6" w14:textId="77777777">
            <w:pPr>
              <w:spacing w:after="0"/>
              <w:rPr>
                <w:rFonts w:ascii="Arial" w:eastAsia="Arial" w:hAnsi="Arial" w:cs="Arial"/>
                <w:b/>
                <w:color w:val="000000"/>
                <w:sz w:val="18"/>
                <w:szCs w:val="40"/>
              </w:rPr>
            </w:pPr>
          </w:p>
        </w:tc>
        <w:tc>
          <w:tcPr>
            <w:tcW w:w="3000" w:type="dxa"/>
            <w:tcBorders>
              <w:top w:val="single" w:sz="4" w:space="0" w:color="FFFFFF"/>
              <w:left w:val="nil"/>
              <w:bottom w:val="single" w:sz="4" w:space="0" w:color="auto"/>
              <w:right w:val="nil"/>
            </w:tcBorders>
            <w:shd w:val="clear" w:color="auto" w:fill="FFFFFF"/>
            <w:vAlign w:val="center"/>
            <w:hideMark/>
          </w:tcPr>
          <w:p w:rsidR="003645E5" w14:paraId="14FC36C4" w14:textId="77777777">
            <w:pPr>
              <w:spacing w:after="0" w:line="252" w:lineRule="auto"/>
              <w:rPr>
                <w:rFonts w:ascii="Arial" w:eastAsia="Arial" w:hAnsi="Arial" w:cs="Arial"/>
                <w:b/>
                <w:color w:val="000000"/>
                <w:sz w:val="18"/>
                <w:szCs w:val="40"/>
              </w:rPr>
            </w:pPr>
            <w:r>
              <w:rPr>
                <w:rFonts w:ascii="Arial" w:eastAsia="Arial" w:hAnsi="Arial" w:cs="Arial"/>
                <w:b/>
                <w:color w:val="000000"/>
                <w:sz w:val="18"/>
                <w:szCs w:val="40"/>
              </w:rPr>
              <w:t>Date of vote</w:t>
            </w:r>
          </w:p>
        </w:tc>
        <w:tc>
          <w:tcPr>
            <w:tcW w:w="4000" w:type="dxa"/>
            <w:tcBorders>
              <w:top w:val="single" w:sz="4" w:space="0" w:color="FFFFFF"/>
              <w:left w:val="nil"/>
              <w:bottom w:val="single" w:sz="4" w:space="0" w:color="auto"/>
              <w:right w:val="nil"/>
            </w:tcBorders>
            <w:shd w:val="clear" w:color="auto" w:fill="FFFFFF"/>
            <w:vAlign w:val="center"/>
            <w:hideMark/>
          </w:tcPr>
          <w:p w:rsidR="003645E5" w14:paraId="2ACDBA92" w14:textId="77777777">
            <w:pPr>
              <w:spacing w:after="0" w:line="252" w:lineRule="auto"/>
              <w:rPr>
                <w:rFonts w:ascii="Arial" w:eastAsia="Arial" w:hAnsi="Arial" w:cs="Arial"/>
                <w:color w:val="000000"/>
                <w:sz w:val="18"/>
                <w:szCs w:val="40"/>
              </w:rPr>
            </w:pPr>
            <w:r>
              <w:rPr>
                <w:rFonts w:ascii="Arial" w:hAnsi="Arial" w:cs="Arial"/>
                <w:color w:val="000000"/>
                <w:sz w:val="18"/>
                <w:szCs w:val="40"/>
              </w:rPr>
              <w:t>30 April 2024</w:t>
            </w:r>
          </w:p>
        </w:tc>
      </w:tr>
      <w:tr w14:paraId="516B02F3" w14:textId="77777777" w:rsidTr="003645E5">
        <w:tblPrEx>
          <w:tblW w:w="0" w:type="auto"/>
          <w:tblLayout w:type="fixed"/>
          <w:tblLook w:val="04A0"/>
        </w:tblPrEx>
        <w:trPr>
          <w:trHeight w:val="300"/>
        </w:trPr>
        <w:tc>
          <w:tcPr>
            <w:tcW w:w="3000" w:type="dxa"/>
            <w:vMerge/>
            <w:tcBorders>
              <w:top w:val="single" w:sz="4" w:space="0" w:color="FFFFFF"/>
              <w:left w:val="nil"/>
              <w:bottom w:val="single" w:sz="4" w:space="0" w:color="auto"/>
              <w:right w:val="nil"/>
            </w:tcBorders>
            <w:vAlign w:val="center"/>
            <w:hideMark/>
          </w:tcPr>
          <w:p w:rsidR="003645E5" w14:paraId="60E5550F" w14:textId="77777777">
            <w:pPr>
              <w:spacing w:after="0"/>
              <w:rPr>
                <w:rFonts w:ascii="Arial" w:eastAsia="Arial" w:hAnsi="Arial" w:cs="Arial"/>
                <w:b/>
                <w:color w:val="000000"/>
                <w:sz w:val="18"/>
                <w:szCs w:val="40"/>
              </w:rPr>
            </w:pPr>
          </w:p>
        </w:tc>
        <w:tc>
          <w:tcPr>
            <w:tcW w:w="3000" w:type="dxa"/>
            <w:tcBorders>
              <w:top w:val="single" w:sz="4" w:space="0" w:color="FFFFFF"/>
              <w:left w:val="nil"/>
              <w:bottom w:val="single" w:sz="4" w:space="0" w:color="auto"/>
              <w:right w:val="nil"/>
            </w:tcBorders>
            <w:shd w:val="clear" w:color="auto" w:fill="FFFFFF"/>
            <w:vAlign w:val="center"/>
            <w:hideMark/>
          </w:tcPr>
          <w:p w:rsidR="003645E5" w14:paraId="58FCF9C3" w14:textId="77777777">
            <w:pPr>
              <w:spacing w:after="0" w:line="252" w:lineRule="auto"/>
              <w:rPr>
                <w:rFonts w:ascii="Arial" w:eastAsia="Arial" w:hAnsi="Arial" w:cs="Arial"/>
                <w:b/>
                <w:color w:val="000000"/>
                <w:sz w:val="18"/>
                <w:szCs w:val="40"/>
              </w:rPr>
            </w:pPr>
            <w:r>
              <w:rPr>
                <w:rFonts w:ascii="Arial" w:eastAsia="Arial" w:hAnsi="Arial" w:cs="Arial"/>
                <w:b/>
                <w:color w:val="000000"/>
                <w:sz w:val="18"/>
                <w:szCs w:val="40"/>
              </w:rPr>
              <w:t>Approximate size of</w:t>
            </w:r>
          </w:p>
          <w:p w:rsidR="003645E5" w14:paraId="7C069B75" w14:textId="77777777">
            <w:pPr>
              <w:spacing w:after="0" w:line="252" w:lineRule="auto"/>
              <w:rPr>
                <w:rFonts w:ascii="Arial" w:eastAsia="Arial" w:hAnsi="Arial" w:cs="Arial"/>
                <w:b/>
                <w:color w:val="000000"/>
                <w:sz w:val="18"/>
                <w:szCs w:val="40"/>
              </w:rPr>
            </w:pPr>
            <w:r>
              <w:rPr>
                <w:rFonts w:ascii="Arial" w:eastAsia="Arial" w:hAnsi="Arial" w:cs="Arial"/>
                <w:b/>
                <w:color w:val="000000"/>
                <w:sz w:val="18"/>
                <w:szCs w:val="40"/>
              </w:rPr>
              <w:t>fund's/mandate's holding as at</w:t>
            </w:r>
          </w:p>
          <w:p w:rsidR="003645E5" w14:paraId="2486CDBE" w14:textId="77777777">
            <w:pPr>
              <w:spacing w:after="0" w:line="252" w:lineRule="auto"/>
              <w:rPr>
                <w:rFonts w:ascii="Arial" w:eastAsia="Arial" w:hAnsi="Arial" w:cs="Arial"/>
                <w:b/>
                <w:color w:val="000000"/>
                <w:sz w:val="18"/>
                <w:szCs w:val="40"/>
              </w:rPr>
            </w:pPr>
            <w:r>
              <w:rPr>
                <w:rFonts w:ascii="Arial" w:eastAsia="Arial" w:hAnsi="Arial" w:cs="Arial"/>
                <w:b/>
                <w:color w:val="000000"/>
                <w:sz w:val="18"/>
                <w:szCs w:val="40"/>
              </w:rPr>
              <w:t>the date of the vote (as % of</w:t>
            </w:r>
          </w:p>
          <w:p w:rsidR="003645E5" w14:paraId="628FBDC6" w14:textId="77777777">
            <w:pPr>
              <w:spacing w:after="0" w:line="252" w:lineRule="auto"/>
              <w:rPr>
                <w:rFonts w:ascii="Arial" w:eastAsia="Arial" w:hAnsi="Arial" w:cs="Arial"/>
                <w:b/>
                <w:color w:val="000000"/>
                <w:sz w:val="18"/>
                <w:szCs w:val="40"/>
              </w:rPr>
            </w:pPr>
            <w:r>
              <w:rPr>
                <w:rFonts w:ascii="Arial" w:eastAsia="Arial" w:hAnsi="Arial" w:cs="Arial"/>
                <w:b/>
                <w:color w:val="000000"/>
                <w:sz w:val="18"/>
                <w:szCs w:val="40"/>
              </w:rPr>
              <w:t>portfolio)</w:t>
            </w:r>
          </w:p>
        </w:tc>
        <w:tc>
          <w:tcPr>
            <w:tcW w:w="4000" w:type="dxa"/>
            <w:tcBorders>
              <w:top w:val="single" w:sz="4" w:space="0" w:color="FFFFFF"/>
              <w:left w:val="nil"/>
              <w:bottom w:val="single" w:sz="4" w:space="0" w:color="auto"/>
              <w:right w:val="nil"/>
            </w:tcBorders>
            <w:shd w:val="clear" w:color="auto" w:fill="FFFFFF"/>
            <w:vAlign w:val="center"/>
            <w:hideMark/>
          </w:tcPr>
          <w:p w:rsidR="003645E5" w14:paraId="3F704745" w14:textId="77777777">
            <w:pPr>
              <w:spacing w:after="0" w:line="252" w:lineRule="auto"/>
              <w:rPr>
                <w:rFonts w:ascii="Arial" w:eastAsia="Arial" w:hAnsi="Arial" w:cs="Arial"/>
                <w:color w:val="000000"/>
                <w:sz w:val="18"/>
                <w:szCs w:val="40"/>
              </w:rPr>
            </w:pPr>
            <w:r>
              <w:rPr>
                <w:rFonts w:ascii="Arial" w:hAnsi="Arial" w:cs="Arial"/>
                <w:color w:val="000000"/>
                <w:sz w:val="18"/>
                <w:szCs w:val="40"/>
              </w:rPr>
              <w:t>Not provided</w:t>
            </w:r>
          </w:p>
        </w:tc>
      </w:tr>
      <w:tr w14:paraId="441563CA" w14:textId="77777777" w:rsidTr="003645E5">
        <w:tblPrEx>
          <w:tblW w:w="0" w:type="auto"/>
          <w:tblLayout w:type="fixed"/>
          <w:tblLook w:val="04A0"/>
        </w:tblPrEx>
        <w:trPr>
          <w:trHeight w:val="240"/>
        </w:trPr>
        <w:tc>
          <w:tcPr>
            <w:tcW w:w="3000" w:type="dxa"/>
            <w:vMerge/>
            <w:tcBorders>
              <w:top w:val="single" w:sz="4" w:space="0" w:color="FFFFFF"/>
              <w:left w:val="nil"/>
              <w:bottom w:val="single" w:sz="4" w:space="0" w:color="auto"/>
              <w:right w:val="nil"/>
            </w:tcBorders>
            <w:vAlign w:val="center"/>
            <w:hideMark/>
          </w:tcPr>
          <w:p w:rsidR="003645E5" w14:paraId="115CF8CD" w14:textId="77777777">
            <w:pPr>
              <w:spacing w:after="0"/>
              <w:rPr>
                <w:rFonts w:ascii="Arial" w:eastAsia="Arial" w:hAnsi="Arial" w:cs="Arial"/>
                <w:b/>
                <w:color w:val="000000"/>
                <w:sz w:val="18"/>
                <w:szCs w:val="40"/>
              </w:rPr>
            </w:pPr>
          </w:p>
        </w:tc>
        <w:tc>
          <w:tcPr>
            <w:tcW w:w="3000" w:type="dxa"/>
            <w:tcBorders>
              <w:top w:val="single" w:sz="4" w:space="0" w:color="FFFFFF"/>
              <w:left w:val="nil"/>
              <w:bottom w:val="single" w:sz="4" w:space="0" w:color="auto"/>
              <w:right w:val="nil"/>
            </w:tcBorders>
            <w:shd w:val="clear" w:color="auto" w:fill="FFFFFF"/>
            <w:vAlign w:val="center"/>
            <w:hideMark/>
          </w:tcPr>
          <w:p w:rsidR="003645E5" w14:paraId="36C17FC1" w14:textId="77777777">
            <w:pPr>
              <w:spacing w:after="0" w:line="252" w:lineRule="auto"/>
              <w:rPr>
                <w:rFonts w:ascii="Arial" w:eastAsia="Arial" w:hAnsi="Arial" w:cs="Arial"/>
                <w:b/>
                <w:color w:val="000000"/>
                <w:sz w:val="18"/>
                <w:szCs w:val="40"/>
              </w:rPr>
            </w:pPr>
            <w:r>
              <w:rPr>
                <w:rFonts w:ascii="Arial" w:eastAsia="Arial" w:hAnsi="Arial" w:cs="Arial"/>
                <w:b/>
                <w:color w:val="000000"/>
                <w:sz w:val="18"/>
                <w:szCs w:val="40"/>
              </w:rPr>
              <w:t>Summary of the resolution</w:t>
            </w:r>
          </w:p>
        </w:tc>
        <w:tc>
          <w:tcPr>
            <w:tcW w:w="4000" w:type="dxa"/>
            <w:tcBorders>
              <w:top w:val="single" w:sz="4" w:space="0" w:color="FFFFFF"/>
              <w:left w:val="nil"/>
              <w:bottom w:val="single" w:sz="4" w:space="0" w:color="auto"/>
              <w:right w:val="nil"/>
            </w:tcBorders>
            <w:shd w:val="clear" w:color="auto" w:fill="FFFFFF"/>
            <w:vAlign w:val="center"/>
            <w:hideMark/>
          </w:tcPr>
          <w:p w:rsidR="003645E5" w14:paraId="384EDA31" w14:textId="77777777">
            <w:pPr>
              <w:spacing w:after="0" w:line="252" w:lineRule="auto"/>
              <w:rPr>
                <w:rFonts w:ascii="Arial" w:eastAsia="Arial" w:hAnsi="Arial" w:cs="Arial"/>
                <w:color w:val="000000"/>
                <w:sz w:val="18"/>
                <w:szCs w:val="40"/>
              </w:rPr>
            </w:pPr>
            <w:r>
              <w:rPr>
                <w:rFonts w:ascii="Arial" w:hAnsi="Arial" w:cs="Arial"/>
                <w:color w:val="000000"/>
                <w:sz w:val="18"/>
                <w:szCs w:val="40"/>
              </w:rPr>
              <w:t>Adopt Science-Based GHG Emissions Targets Including for Value Chain Emissions</w:t>
            </w:r>
          </w:p>
        </w:tc>
      </w:tr>
      <w:tr w14:paraId="04A3527B" w14:textId="77777777" w:rsidTr="003645E5">
        <w:tblPrEx>
          <w:tblW w:w="0" w:type="auto"/>
          <w:tblLayout w:type="fixed"/>
          <w:tblLook w:val="04A0"/>
        </w:tblPrEx>
        <w:trPr>
          <w:trHeight w:val="200"/>
        </w:trPr>
        <w:tc>
          <w:tcPr>
            <w:tcW w:w="3000" w:type="dxa"/>
            <w:vMerge/>
            <w:tcBorders>
              <w:top w:val="single" w:sz="4" w:space="0" w:color="FFFFFF"/>
              <w:left w:val="nil"/>
              <w:bottom w:val="single" w:sz="4" w:space="0" w:color="auto"/>
              <w:right w:val="nil"/>
            </w:tcBorders>
            <w:vAlign w:val="center"/>
            <w:hideMark/>
          </w:tcPr>
          <w:p w:rsidR="003645E5" w14:paraId="03A21BFF" w14:textId="77777777">
            <w:pPr>
              <w:spacing w:after="0"/>
              <w:rPr>
                <w:rFonts w:ascii="Arial" w:eastAsia="Arial" w:hAnsi="Arial" w:cs="Arial"/>
                <w:b/>
                <w:color w:val="000000"/>
                <w:sz w:val="18"/>
                <w:szCs w:val="40"/>
              </w:rPr>
            </w:pPr>
          </w:p>
        </w:tc>
        <w:tc>
          <w:tcPr>
            <w:tcW w:w="3000" w:type="dxa"/>
            <w:tcBorders>
              <w:top w:val="single" w:sz="4" w:space="0" w:color="FFFFFF"/>
              <w:left w:val="nil"/>
              <w:bottom w:val="single" w:sz="4" w:space="0" w:color="auto"/>
              <w:right w:val="nil"/>
            </w:tcBorders>
            <w:shd w:val="clear" w:color="auto" w:fill="FFFFFF"/>
            <w:vAlign w:val="center"/>
            <w:hideMark/>
          </w:tcPr>
          <w:p w:rsidR="003645E5" w14:paraId="7D18B06B" w14:textId="77777777">
            <w:pPr>
              <w:spacing w:after="0" w:line="252" w:lineRule="auto"/>
              <w:rPr>
                <w:rFonts w:ascii="Arial" w:eastAsia="Arial" w:hAnsi="Arial" w:cs="Arial"/>
                <w:b/>
                <w:color w:val="000000"/>
                <w:sz w:val="18"/>
                <w:szCs w:val="40"/>
              </w:rPr>
            </w:pPr>
            <w:r>
              <w:rPr>
                <w:rFonts w:ascii="Arial" w:eastAsia="Arial" w:hAnsi="Arial" w:cs="Arial"/>
                <w:b/>
                <w:color w:val="000000"/>
                <w:sz w:val="18"/>
                <w:szCs w:val="40"/>
              </w:rPr>
              <w:t>How you voted?</w:t>
            </w:r>
          </w:p>
        </w:tc>
        <w:tc>
          <w:tcPr>
            <w:tcW w:w="4000" w:type="dxa"/>
            <w:tcBorders>
              <w:top w:val="single" w:sz="4" w:space="0" w:color="FFFFFF"/>
              <w:left w:val="nil"/>
              <w:bottom w:val="single" w:sz="4" w:space="0" w:color="auto"/>
              <w:right w:val="nil"/>
            </w:tcBorders>
            <w:shd w:val="clear" w:color="auto" w:fill="FFFFFF"/>
            <w:vAlign w:val="center"/>
            <w:hideMark/>
          </w:tcPr>
          <w:p w:rsidR="003645E5" w14:paraId="3734EE36" w14:textId="77777777">
            <w:pPr>
              <w:spacing w:after="0" w:line="252" w:lineRule="auto"/>
              <w:rPr>
                <w:rFonts w:ascii="Arial" w:eastAsia="Arial" w:hAnsi="Arial" w:cs="Arial"/>
                <w:color w:val="000000"/>
                <w:sz w:val="18"/>
                <w:szCs w:val="40"/>
              </w:rPr>
            </w:pPr>
            <w:r>
              <w:rPr>
                <w:rFonts w:ascii="Arial" w:hAnsi="Arial" w:cs="Arial"/>
                <w:color w:val="000000"/>
                <w:sz w:val="18"/>
                <w:szCs w:val="40"/>
              </w:rPr>
              <w:t>Votes supporting resolution</w:t>
            </w:r>
          </w:p>
        </w:tc>
      </w:tr>
      <w:tr w14:paraId="352E157C" w14:textId="77777777" w:rsidTr="003645E5">
        <w:tblPrEx>
          <w:tblW w:w="0" w:type="auto"/>
          <w:tblLayout w:type="fixed"/>
          <w:tblLook w:val="04A0"/>
        </w:tblPrEx>
        <w:trPr>
          <w:trHeight w:val="300"/>
        </w:trPr>
        <w:tc>
          <w:tcPr>
            <w:tcW w:w="3000" w:type="dxa"/>
            <w:vMerge/>
            <w:tcBorders>
              <w:top w:val="single" w:sz="4" w:space="0" w:color="FFFFFF"/>
              <w:left w:val="nil"/>
              <w:bottom w:val="single" w:sz="4" w:space="0" w:color="auto"/>
              <w:right w:val="nil"/>
            </w:tcBorders>
            <w:vAlign w:val="center"/>
            <w:hideMark/>
          </w:tcPr>
          <w:p w:rsidR="003645E5" w14:paraId="089FE964" w14:textId="77777777">
            <w:pPr>
              <w:spacing w:after="0"/>
              <w:rPr>
                <w:rFonts w:ascii="Arial" w:eastAsia="Arial" w:hAnsi="Arial" w:cs="Arial"/>
                <w:b/>
                <w:color w:val="000000"/>
                <w:sz w:val="18"/>
                <w:szCs w:val="40"/>
              </w:rPr>
            </w:pPr>
          </w:p>
        </w:tc>
        <w:tc>
          <w:tcPr>
            <w:tcW w:w="3000" w:type="dxa"/>
            <w:tcBorders>
              <w:top w:val="single" w:sz="4" w:space="0" w:color="FFFFFF"/>
              <w:left w:val="nil"/>
              <w:bottom w:val="single" w:sz="4" w:space="0" w:color="auto"/>
              <w:right w:val="nil"/>
            </w:tcBorders>
            <w:shd w:val="clear" w:color="auto" w:fill="FFFFFF"/>
            <w:vAlign w:val="center"/>
            <w:hideMark/>
          </w:tcPr>
          <w:p w:rsidR="003645E5" w14:paraId="79C95759" w14:textId="77777777">
            <w:pPr>
              <w:spacing w:after="0" w:line="252" w:lineRule="auto"/>
              <w:rPr>
                <w:rFonts w:ascii="Arial" w:eastAsia="Arial" w:hAnsi="Arial" w:cs="Arial"/>
                <w:b/>
                <w:color w:val="000000"/>
                <w:sz w:val="18"/>
                <w:szCs w:val="40"/>
              </w:rPr>
            </w:pPr>
            <w:r>
              <w:rPr>
                <w:rFonts w:ascii="Arial" w:eastAsia="Arial" w:hAnsi="Arial" w:cs="Arial"/>
                <w:b/>
                <w:color w:val="000000"/>
                <w:sz w:val="18"/>
                <w:szCs w:val="40"/>
              </w:rPr>
              <w:t>Where you voted against</w:t>
            </w:r>
          </w:p>
          <w:p w:rsidR="003645E5" w14:paraId="3C28F01C" w14:textId="77777777">
            <w:pPr>
              <w:spacing w:after="0" w:line="252" w:lineRule="auto"/>
              <w:rPr>
                <w:rFonts w:ascii="Arial" w:eastAsia="Arial" w:hAnsi="Arial" w:cs="Arial"/>
                <w:b/>
                <w:color w:val="000000"/>
                <w:sz w:val="18"/>
                <w:szCs w:val="40"/>
              </w:rPr>
            </w:pPr>
            <w:r>
              <w:rPr>
                <w:rFonts w:ascii="Arial" w:eastAsia="Arial" w:hAnsi="Arial" w:cs="Arial"/>
                <w:b/>
                <w:color w:val="000000"/>
                <w:sz w:val="18"/>
                <w:szCs w:val="40"/>
              </w:rPr>
              <w:t xml:space="preserve">management, did you </w:t>
            </w:r>
          </w:p>
          <w:p w:rsidR="003645E5" w14:paraId="099048E7" w14:textId="77777777">
            <w:pPr>
              <w:spacing w:after="0" w:line="252" w:lineRule="auto"/>
              <w:rPr>
                <w:rFonts w:ascii="Arial" w:eastAsia="Arial" w:hAnsi="Arial" w:cs="Arial"/>
                <w:b/>
                <w:color w:val="000000"/>
                <w:sz w:val="18"/>
                <w:szCs w:val="40"/>
              </w:rPr>
            </w:pPr>
            <w:r>
              <w:rPr>
                <w:rFonts w:ascii="Arial" w:eastAsia="Arial" w:hAnsi="Arial" w:cs="Arial"/>
                <w:b/>
                <w:color w:val="000000"/>
                <w:sz w:val="18"/>
                <w:szCs w:val="40"/>
              </w:rPr>
              <w:t>communicate your intent to the</w:t>
            </w:r>
          </w:p>
          <w:p w:rsidR="003645E5" w14:paraId="7F497A84" w14:textId="77777777">
            <w:pPr>
              <w:spacing w:after="0" w:line="252" w:lineRule="auto"/>
              <w:rPr>
                <w:rFonts w:ascii="Arial" w:eastAsia="Arial" w:hAnsi="Arial" w:cs="Arial"/>
                <w:b/>
                <w:color w:val="000000"/>
                <w:sz w:val="18"/>
                <w:szCs w:val="40"/>
              </w:rPr>
            </w:pPr>
            <w:r>
              <w:rPr>
                <w:rFonts w:ascii="Arial" w:eastAsia="Arial" w:hAnsi="Arial" w:cs="Arial"/>
                <w:b/>
                <w:color w:val="000000"/>
                <w:sz w:val="18"/>
                <w:szCs w:val="40"/>
              </w:rPr>
              <w:t>company ahead of the vote?</w:t>
            </w:r>
          </w:p>
        </w:tc>
        <w:tc>
          <w:tcPr>
            <w:tcW w:w="4000" w:type="dxa"/>
            <w:tcBorders>
              <w:top w:val="single" w:sz="4" w:space="0" w:color="FFFFFF"/>
              <w:left w:val="nil"/>
              <w:bottom w:val="single" w:sz="4" w:space="0" w:color="auto"/>
              <w:right w:val="nil"/>
            </w:tcBorders>
            <w:shd w:val="clear" w:color="auto" w:fill="FFFFFF"/>
            <w:vAlign w:val="center"/>
          </w:tcPr>
          <w:p w:rsidR="003645E5" w14:paraId="40EE076C" w14:textId="77777777">
            <w:pPr>
              <w:spacing w:after="0" w:line="252" w:lineRule="auto"/>
              <w:rPr>
                <w:rFonts w:ascii="Arial" w:hAnsi="Arial" w:cs="Arial"/>
                <w:color w:val="000000"/>
                <w:sz w:val="18"/>
                <w:szCs w:val="40"/>
              </w:rPr>
            </w:pPr>
            <w:r>
              <w:rPr>
                <w:rFonts w:ascii="Arial" w:hAnsi="Arial" w:cs="Arial"/>
                <w:color w:val="000000"/>
                <w:sz w:val="18"/>
                <w:szCs w:val="40"/>
              </w:rPr>
              <w:t>No</w:t>
            </w:r>
          </w:p>
          <w:p w:rsidR="003645E5" w14:paraId="069FA29D" w14:textId="77777777">
            <w:pPr>
              <w:spacing w:after="0" w:line="252" w:lineRule="auto"/>
              <w:rPr>
                <w:rFonts w:ascii="Arial" w:eastAsia="Arial" w:hAnsi="Arial" w:cs="Arial"/>
                <w:color w:val="000000"/>
                <w:sz w:val="18"/>
                <w:szCs w:val="40"/>
              </w:rPr>
            </w:pPr>
          </w:p>
        </w:tc>
      </w:tr>
      <w:tr w14:paraId="51508C11" w14:textId="77777777" w:rsidTr="003645E5">
        <w:tblPrEx>
          <w:tblW w:w="0" w:type="auto"/>
          <w:tblLayout w:type="fixed"/>
          <w:tblLook w:val="04A0"/>
        </w:tblPrEx>
        <w:trPr>
          <w:trHeight w:val="200"/>
        </w:trPr>
        <w:tc>
          <w:tcPr>
            <w:tcW w:w="3000" w:type="dxa"/>
            <w:vMerge/>
            <w:tcBorders>
              <w:top w:val="single" w:sz="4" w:space="0" w:color="FFFFFF"/>
              <w:left w:val="nil"/>
              <w:bottom w:val="single" w:sz="4" w:space="0" w:color="auto"/>
              <w:right w:val="nil"/>
            </w:tcBorders>
            <w:vAlign w:val="center"/>
            <w:hideMark/>
          </w:tcPr>
          <w:p w:rsidR="003645E5" w14:paraId="43FB1595" w14:textId="77777777">
            <w:pPr>
              <w:spacing w:after="0"/>
              <w:rPr>
                <w:rFonts w:ascii="Arial" w:eastAsia="Arial" w:hAnsi="Arial" w:cs="Arial"/>
                <w:b/>
                <w:color w:val="000000"/>
                <w:sz w:val="18"/>
                <w:szCs w:val="40"/>
              </w:rPr>
            </w:pPr>
          </w:p>
        </w:tc>
        <w:tc>
          <w:tcPr>
            <w:tcW w:w="3000" w:type="dxa"/>
            <w:tcBorders>
              <w:top w:val="single" w:sz="4" w:space="0" w:color="FFFFFF"/>
              <w:left w:val="nil"/>
              <w:bottom w:val="single" w:sz="4" w:space="0" w:color="auto"/>
              <w:right w:val="nil"/>
            </w:tcBorders>
            <w:shd w:val="clear" w:color="auto" w:fill="FFFFFF"/>
            <w:vAlign w:val="center"/>
            <w:hideMark/>
          </w:tcPr>
          <w:p w:rsidR="003645E5" w14:paraId="1277BF50" w14:textId="77777777">
            <w:pPr>
              <w:spacing w:after="0" w:line="252" w:lineRule="auto"/>
              <w:rPr>
                <w:rFonts w:ascii="Arial" w:eastAsia="Arial" w:hAnsi="Arial" w:cs="Arial"/>
                <w:b/>
                <w:color w:val="000000"/>
                <w:sz w:val="18"/>
                <w:szCs w:val="40"/>
              </w:rPr>
            </w:pPr>
            <w:r>
              <w:rPr>
                <w:rFonts w:ascii="Arial" w:eastAsia="Arial" w:hAnsi="Arial" w:cs="Arial"/>
                <w:b/>
                <w:color w:val="000000"/>
                <w:sz w:val="18"/>
                <w:szCs w:val="40"/>
              </w:rPr>
              <w:t>Rationale for the voting</w:t>
            </w:r>
          </w:p>
          <w:p w:rsidR="003645E5" w14:paraId="16F30CCC" w14:textId="77777777">
            <w:pPr>
              <w:spacing w:after="0" w:line="252" w:lineRule="auto"/>
              <w:rPr>
                <w:rFonts w:ascii="Arial" w:eastAsia="Arial" w:hAnsi="Arial" w:cs="Arial"/>
                <w:b/>
                <w:color w:val="000000"/>
                <w:sz w:val="18"/>
                <w:szCs w:val="40"/>
              </w:rPr>
            </w:pPr>
            <w:r>
              <w:rPr>
                <w:rFonts w:ascii="Arial" w:eastAsia="Arial" w:hAnsi="Arial" w:cs="Arial"/>
                <w:b/>
                <w:color w:val="000000"/>
                <w:sz w:val="18"/>
                <w:szCs w:val="40"/>
              </w:rPr>
              <w:t>decision</w:t>
            </w:r>
          </w:p>
        </w:tc>
        <w:tc>
          <w:tcPr>
            <w:tcW w:w="4000" w:type="dxa"/>
            <w:tcBorders>
              <w:top w:val="single" w:sz="4" w:space="0" w:color="FFFFFF"/>
              <w:left w:val="nil"/>
              <w:bottom w:val="single" w:sz="4" w:space="0" w:color="auto"/>
              <w:right w:val="nil"/>
            </w:tcBorders>
            <w:shd w:val="clear" w:color="auto" w:fill="FFFFFF"/>
            <w:vAlign w:val="center"/>
            <w:hideMark/>
          </w:tcPr>
          <w:p w:rsidR="003645E5" w14:paraId="053EB273" w14:textId="77777777">
            <w:pPr>
              <w:spacing w:after="0" w:line="252" w:lineRule="auto"/>
              <w:rPr>
                <w:rFonts w:ascii="Arial" w:eastAsia="Arial" w:hAnsi="Arial" w:cs="Arial"/>
                <w:color w:val="000000"/>
                <w:sz w:val="18"/>
                <w:szCs w:val="40"/>
              </w:rPr>
            </w:pPr>
            <w:r>
              <w:rPr>
                <w:rFonts w:ascii="Arial" w:hAnsi="Arial" w:cs="Arial"/>
                <w:color w:val="000000"/>
                <w:sz w:val="18"/>
                <w:szCs w:val="40"/>
              </w:rPr>
              <w:t xml:space="preserve">We will support proposals that seek to promote greater disclosure and transparency in corporate environmental policies as long as: a) the issues are not already effectively dealt with through legislation or regulation; b) the company has not already responded in a </w:t>
            </w:r>
            <w:r>
              <w:rPr>
                <w:rFonts w:ascii="Arial" w:hAnsi="Arial" w:cs="Arial"/>
                <w:color w:val="000000"/>
                <w:sz w:val="18"/>
                <w:szCs w:val="40"/>
              </w:rPr>
              <w:t>sufficient manner; and c) the proposal is not unduly burdensome or overly prescriptive.</w:t>
            </w:r>
          </w:p>
        </w:tc>
      </w:tr>
      <w:tr w14:paraId="42D682D2" w14:textId="77777777" w:rsidTr="003645E5">
        <w:tblPrEx>
          <w:tblW w:w="0" w:type="auto"/>
          <w:tblLayout w:type="fixed"/>
          <w:tblLook w:val="04A0"/>
        </w:tblPrEx>
        <w:trPr>
          <w:trHeight w:val="200"/>
        </w:trPr>
        <w:tc>
          <w:tcPr>
            <w:tcW w:w="3000" w:type="dxa"/>
            <w:vMerge/>
            <w:tcBorders>
              <w:top w:val="single" w:sz="4" w:space="0" w:color="FFFFFF"/>
              <w:left w:val="nil"/>
              <w:bottom w:val="single" w:sz="4" w:space="0" w:color="auto"/>
              <w:right w:val="nil"/>
            </w:tcBorders>
            <w:vAlign w:val="center"/>
            <w:hideMark/>
          </w:tcPr>
          <w:p w:rsidR="003645E5" w14:paraId="1A1A3B0D" w14:textId="77777777">
            <w:pPr>
              <w:spacing w:after="0"/>
              <w:rPr>
                <w:rFonts w:ascii="Arial" w:eastAsia="Arial" w:hAnsi="Arial" w:cs="Arial"/>
                <w:b/>
                <w:color w:val="000000"/>
                <w:sz w:val="18"/>
                <w:szCs w:val="40"/>
              </w:rPr>
            </w:pPr>
          </w:p>
        </w:tc>
        <w:tc>
          <w:tcPr>
            <w:tcW w:w="3000" w:type="dxa"/>
            <w:tcBorders>
              <w:top w:val="single" w:sz="4" w:space="0" w:color="FFFFFF"/>
              <w:left w:val="nil"/>
              <w:bottom w:val="single" w:sz="4" w:space="0" w:color="auto"/>
              <w:right w:val="nil"/>
            </w:tcBorders>
            <w:shd w:val="clear" w:color="auto" w:fill="FFFFFF"/>
            <w:vAlign w:val="center"/>
            <w:hideMark/>
          </w:tcPr>
          <w:p w:rsidR="003645E5" w14:paraId="7B581126" w14:textId="77777777">
            <w:pPr>
              <w:spacing w:after="0" w:line="252" w:lineRule="auto"/>
              <w:rPr>
                <w:rFonts w:ascii="Arial" w:eastAsia="Arial" w:hAnsi="Arial" w:cs="Arial"/>
                <w:b/>
                <w:color w:val="000000"/>
                <w:sz w:val="18"/>
                <w:szCs w:val="40"/>
              </w:rPr>
            </w:pPr>
            <w:r>
              <w:rPr>
                <w:rFonts w:ascii="Arial" w:eastAsia="Arial" w:hAnsi="Arial" w:cs="Arial"/>
                <w:b/>
                <w:color w:val="000000"/>
                <w:sz w:val="18"/>
                <w:szCs w:val="40"/>
              </w:rPr>
              <w:t>Outcome of the vote</w:t>
            </w:r>
          </w:p>
        </w:tc>
        <w:tc>
          <w:tcPr>
            <w:tcW w:w="4000" w:type="dxa"/>
            <w:tcBorders>
              <w:top w:val="single" w:sz="4" w:space="0" w:color="FFFFFF"/>
              <w:left w:val="nil"/>
              <w:bottom w:val="single" w:sz="4" w:space="0" w:color="auto"/>
              <w:right w:val="nil"/>
            </w:tcBorders>
            <w:shd w:val="clear" w:color="auto" w:fill="FFFFFF"/>
            <w:vAlign w:val="center"/>
            <w:hideMark/>
          </w:tcPr>
          <w:p w:rsidR="003645E5" w14:paraId="7C96DE2E" w14:textId="77777777">
            <w:pPr>
              <w:spacing w:after="0" w:line="252" w:lineRule="auto"/>
              <w:rPr>
                <w:rFonts w:ascii="Arial" w:eastAsia="Arial" w:hAnsi="Arial" w:cs="Arial"/>
                <w:color w:val="000000"/>
                <w:sz w:val="18"/>
                <w:szCs w:val="40"/>
              </w:rPr>
            </w:pPr>
            <w:r>
              <w:rPr>
                <w:rFonts w:ascii="Arial" w:hAnsi="Arial" w:cs="Arial"/>
                <w:color w:val="000000"/>
                <w:sz w:val="18"/>
                <w:szCs w:val="40"/>
              </w:rPr>
              <w:t>Fail</w:t>
            </w:r>
          </w:p>
        </w:tc>
      </w:tr>
      <w:tr w14:paraId="0FACB63E" w14:textId="77777777" w:rsidTr="003645E5">
        <w:tblPrEx>
          <w:tblW w:w="0" w:type="auto"/>
          <w:tblLayout w:type="fixed"/>
          <w:tblLook w:val="04A0"/>
        </w:tblPrEx>
        <w:tc>
          <w:tcPr>
            <w:tcW w:w="3000" w:type="dxa"/>
            <w:vMerge/>
            <w:tcBorders>
              <w:top w:val="single" w:sz="4" w:space="0" w:color="FFFFFF"/>
              <w:left w:val="nil"/>
              <w:bottom w:val="single" w:sz="4" w:space="0" w:color="auto"/>
              <w:right w:val="nil"/>
            </w:tcBorders>
            <w:vAlign w:val="center"/>
            <w:hideMark/>
          </w:tcPr>
          <w:p w:rsidR="003645E5" w14:paraId="3A6592B9" w14:textId="77777777">
            <w:pPr>
              <w:spacing w:after="0"/>
              <w:rPr>
                <w:rFonts w:ascii="Arial" w:eastAsia="Arial" w:hAnsi="Arial" w:cs="Arial"/>
                <w:b/>
                <w:color w:val="000000"/>
                <w:sz w:val="18"/>
                <w:szCs w:val="40"/>
              </w:rPr>
            </w:pPr>
          </w:p>
        </w:tc>
        <w:tc>
          <w:tcPr>
            <w:tcW w:w="3000" w:type="dxa"/>
            <w:tcBorders>
              <w:top w:val="single" w:sz="4" w:space="0" w:color="FFFFFF"/>
              <w:left w:val="nil"/>
              <w:bottom w:val="single" w:sz="4" w:space="0" w:color="auto"/>
              <w:right w:val="nil"/>
            </w:tcBorders>
            <w:shd w:val="clear" w:color="auto" w:fill="FFFFFF"/>
            <w:vAlign w:val="center"/>
            <w:hideMark/>
          </w:tcPr>
          <w:p w:rsidR="003645E5" w14:paraId="65BA9447" w14:textId="77777777">
            <w:pPr>
              <w:spacing w:after="0" w:line="252" w:lineRule="auto"/>
              <w:rPr>
                <w:rFonts w:ascii="Arial" w:eastAsia="Arial" w:hAnsi="Arial" w:cs="Arial"/>
                <w:b/>
                <w:color w:val="000000"/>
                <w:sz w:val="18"/>
                <w:szCs w:val="40"/>
              </w:rPr>
            </w:pPr>
            <w:r>
              <w:rPr>
                <w:rFonts w:ascii="Arial" w:eastAsia="Arial" w:hAnsi="Arial" w:cs="Arial"/>
                <w:b/>
                <w:color w:val="000000"/>
                <w:sz w:val="18"/>
                <w:szCs w:val="40"/>
              </w:rPr>
              <w:t xml:space="preserve">Implications of the outcome e.g. </w:t>
            </w:r>
          </w:p>
          <w:p w:rsidR="003645E5" w14:paraId="41D7562A" w14:textId="77777777">
            <w:pPr>
              <w:spacing w:after="0" w:line="252" w:lineRule="auto"/>
              <w:rPr>
                <w:rFonts w:ascii="Arial" w:eastAsia="Arial" w:hAnsi="Arial" w:cs="Arial"/>
                <w:b/>
                <w:color w:val="000000"/>
                <w:sz w:val="18"/>
                <w:szCs w:val="40"/>
              </w:rPr>
            </w:pPr>
            <w:r>
              <w:rPr>
                <w:rFonts w:ascii="Arial" w:eastAsia="Arial" w:hAnsi="Arial" w:cs="Arial"/>
                <w:b/>
                <w:color w:val="000000"/>
                <w:sz w:val="18"/>
                <w:szCs w:val="40"/>
              </w:rPr>
              <w:t xml:space="preserve">were there any lessons learned </w:t>
            </w:r>
          </w:p>
          <w:p w:rsidR="003645E5" w14:paraId="7D115216" w14:textId="77777777">
            <w:pPr>
              <w:spacing w:after="0" w:line="252" w:lineRule="auto"/>
              <w:rPr>
                <w:rFonts w:ascii="Arial" w:eastAsia="Arial" w:hAnsi="Arial" w:cs="Arial"/>
                <w:b/>
                <w:color w:val="000000"/>
                <w:sz w:val="18"/>
                <w:szCs w:val="40"/>
              </w:rPr>
            </w:pPr>
            <w:r>
              <w:rPr>
                <w:rFonts w:ascii="Arial" w:eastAsia="Arial" w:hAnsi="Arial" w:cs="Arial"/>
                <w:b/>
                <w:color w:val="000000"/>
                <w:sz w:val="18"/>
                <w:szCs w:val="40"/>
              </w:rPr>
              <w:t xml:space="preserve">and what likely future steps will </w:t>
            </w:r>
          </w:p>
          <w:p w:rsidR="003645E5" w14:paraId="1C87051D" w14:textId="77777777">
            <w:pPr>
              <w:spacing w:after="0" w:line="252" w:lineRule="auto"/>
              <w:rPr>
                <w:rFonts w:ascii="Arial" w:eastAsia="Arial" w:hAnsi="Arial" w:cs="Arial"/>
                <w:b/>
                <w:color w:val="000000"/>
                <w:sz w:val="18"/>
                <w:szCs w:val="40"/>
              </w:rPr>
            </w:pPr>
            <w:r>
              <w:rPr>
                <w:rFonts w:ascii="Arial" w:eastAsia="Arial" w:hAnsi="Arial" w:cs="Arial"/>
                <w:b/>
                <w:color w:val="000000"/>
                <w:sz w:val="18"/>
                <w:szCs w:val="40"/>
              </w:rPr>
              <w:t xml:space="preserve">you take in response to the </w:t>
            </w:r>
          </w:p>
          <w:p w:rsidR="003645E5" w14:paraId="02DBEB67" w14:textId="77777777">
            <w:pPr>
              <w:spacing w:after="0" w:line="252" w:lineRule="auto"/>
              <w:rPr>
                <w:rFonts w:ascii="Arial" w:eastAsia="Arial" w:hAnsi="Arial" w:cs="Arial"/>
                <w:b/>
                <w:color w:val="000000"/>
                <w:sz w:val="18"/>
                <w:szCs w:val="40"/>
              </w:rPr>
            </w:pPr>
            <w:r>
              <w:rPr>
                <w:rFonts w:ascii="Arial" w:eastAsia="Arial" w:hAnsi="Arial" w:cs="Arial"/>
                <w:b/>
                <w:color w:val="000000"/>
                <w:sz w:val="18"/>
                <w:szCs w:val="40"/>
              </w:rPr>
              <w:t>outcome?</w:t>
            </w:r>
          </w:p>
        </w:tc>
        <w:tc>
          <w:tcPr>
            <w:tcW w:w="4000" w:type="dxa"/>
            <w:tcBorders>
              <w:top w:val="single" w:sz="4" w:space="0" w:color="FFFFFF"/>
              <w:left w:val="nil"/>
              <w:bottom w:val="single" w:sz="4" w:space="0" w:color="auto"/>
              <w:right w:val="nil"/>
            </w:tcBorders>
            <w:shd w:val="clear" w:color="auto" w:fill="FFFFFF"/>
            <w:vAlign w:val="center"/>
            <w:hideMark/>
          </w:tcPr>
          <w:p w:rsidR="003645E5" w14:paraId="49E274EE" w14:textId="77777777">
            <w:pPr>
              <w:spacing w:after="0" w:line="252" w:lineRule="auto"/>
              <w:rPr>
                <w:rFonts w:ascii="Arial" w:eastAsia="Arial" w:hAnsi="Arial" w:cs="Arial"/>
                <w:color w:val="000000"/>
                <w:sz w:val="18"/>
                <w:szCs w:val="40"/>
              </w:rPr>
            </w:pPr>
            <w:r>
              <w:rPr>
                <w:rFonts w:ascii="Arial" w:hAnsi="Arial" w:cs="Arial"/>
                <w:color w:val="000000"/>
                <w:sz w:val="18"/>
                <w:szCs w:val="40"/>
              </w:rPr>
              <w:t>We will continue to monitor ahead of the next AGM.</w:t>
            </w:r>
          </w:p>
        </w:tc>
      </w:tr>
      <w:tr w14:paraId="739E545B" w14:textId="77777777" w:rsidTr="003645E5">
        <w:tblPrEx>
          <w:tblW w:w="0" w:type="auto"/>
          <w:tblLayout w:type="fixed"/>
          <w:tblLook w:val="04A0"/>
        </w:tblPrEx>
        <w:trPr>
          <w:trHeight w:val="200"/>
        </w:trPr>
        <w:tc>
          <w:tcPr>
            <w:tcW w:w="3000" w:type="dxa"/>
            <w:vMerge/>
            <w:tcBorders>
              <w:top w:val="single" w:sz="4" w:space="0" w:color="FFFFFF"/>
              <w:left w:val="nil"/>
              <w:bottom w:val="single" w:sz="4" w:space="0" w:color="auto"/>
              <w:right w:val="nil"/>
            </w:tcBorders>
            <w:vAlign w:val="center"/>
            <w:hideMark/>
          </w:tcPr>
          <w:p w:rsidR="003645E5" w14:paraId="6FD82297" w14:textId="77777777">
            <w:pPr>
              <w:spacing w:after="0"/>
              <w:rPr>
                <w:rFonts w:ascii="Arial" w:eastAsia="Arial" w:hAnsi="Arial" w:cs="Arial"/>
                <w:b/>
                <w:color w:val="000000"/>
                <w:sz w:val="18"/>
                <w:szCs w:val="40"/>
              </w:rPr>
            </w:pPr>
          </w:p>
        </w:tc>
        <w:tc>
          <w:tcPr>
            <w:tcW w:w="3000" w:type="dxa"/>
            <w:tcBorders>
              <w:top w:val="single" w:sz="4" w:space="0" w:color="FFFFFF"/>
              <w:left w:val="nil"/>
              <w:bottom w:val="single" w:sz="4" w:space="0" w:color="auto"/>
              <w:right w:val="nil"/>
            </w:tcBorders>
            <w:shd w:val="clear" w:color="auto" w:fill="FFFFFF"/>
            <w:vAlign w:val="center"/>
            <w:hideMark/>
          </w:tcPr>
          <w:p w:rsidR="003645E5" w14:paraId="51B3F24A" w14:textId="77777777">
            <w:pPr>
              <w:spacing w:after="0" w:line="252" w:lineRule="auto"/>
              <w:rPr>
                <w:rFonts w:ascii="Arial" w:eastAsia="Arial" w:hAnsi="Arial" w:cs="Arial"/>
                <w:b/>
                <w:color w:val="000000"/>
                <w:sz w:val="18"/>
                <w:szCs w:val="40"/>
              </w:rPr>
            </w:pPr>
            <w:r>
              <w:rPr>
                <w:rFonts w:ascii="Arial" w:eastAsia="Arial" w:hAnsi="Arial" w:cs="Arial"/>
                <w:b/>
                <w:color w:val="000000"/>
                <w:sz w:val="18"/>
                <w:szCs w:val="40"/>
              </w:rPr>
              <w:t xml:space="preserve">On which criteria have you </w:t>
            </w:r>
          </w:p>
          <w:p w:rsidR="003645E5" w14:paraId="7F62EF66" w14:textId="77777777">
            <w:pPr>
              <w:spacing w:after="0" w:line="252" w:lineRule="auto"/>
              <w:rPr>
                <w:rFonts w:ascii="Arial" w:eastAsia="Arial" w:hAnsi="Arial" w:cs="Arial"/>
                <w:b/>
                <w:color w:val="000000"/>
                <w:sz w:val="18"/>
                <w:szCs w:val="40"/>
              </w:rPr>
            </w:pPr>
            <w:r>
              <w:rPr>
                <w:rFonts w:ascii="Arial" w:eastAsia="Arial" w:hAnsi="Arial" w:cs="Arial"/>
                <w:b/>
                <w:color w:val="000000"/>
                <w:sz w:val="18"/>
                <w:szCs w:val="40"/>
              </w:rPr>
              <w:t xml:space="preserve">assessed this vote to be most </w:t>
            </w:r>
          </w:p>
          <w:p w:rsidR="003645E5" w14:paraId="11871930" w14:textId="77777777">
            <w:pPr>
              <w:spacing w:after="0" w:line="252" w:lineRule="auto"/>
              <w:rPr>
                <w:rFonts w:ascii="Arial" w:eastAsia="Arial" w:hAnsi="Arial" w:cs="Arial"/>
                <w:b/>
                <w:color w:val="000000"/>
                <w:sz w:val="18"/>
                <w:szCs w:val="40"/>
              </w:rPr>
            </w:pPr>
            <w:r>
              <w:rPr>
                <w:rFonts w:ascii="Arial" w:eastAsia="Arial" w:hAnsi="Arial" w:cs="Arial"/>
                <w:b/>
                <w:color w:val="000000"/>
                <w:sz w:val="18"/>
                <w:szCs w:val="40"/>
              </w:rPr>
              <w:t>significant?</w:t>
            </w:r>
          </w:p>
        </w:tc>
        <w:tc>
          <w:tcPr>
            <w:tcW w:w="4000" w:type="dxa"/>
            <w:tcBorders>
              <w:top w:val="single" w:sz="4" w:space="0" w:color="FFFFFF"/>
              <w:left w:val="nil"/>
              <w:bottom w:val="single" w:sz="4" w:space="0" w:color="auto"/>
              <w:right w:val="nil"/>
            </w:tcBorders>
            <w:shd w:val="clear" w:color="auto" w:fill="FFFFFF"/>
            <w:vAlign w:val="center"/>
          </w:tcPr>
          <w:p w:rsidR="003645E5" w14:paraId="06DE071B" w14:textId="77777777">
            <w:pPr>
              <w:spacing w:after="0" w:line="252" w:lineRule="auto"/>
              <w:rPr>
                <w:rFonts w:ascii="Arial" w:hAnsi="Arial" w:cs="Arial"/>
                <w:color w:val="000000"/>
                <w:sz w:val="18"/>
                <w:szCs w:val="40"/>
              </w:rPr>
            </w:pPr>
            <w:r>
              <w:rPr>
                <w:rFonts w:ascii="Arial" w:hAnsi="Arial" w:cs="Arial"/>
                <w:color w:val="000000"/>
                <w:sz w:val="18"/>
                <w:szCs w:val="40"/>
              </w:rPr>
              <w:t>30.8% of shareholders voted in support of the proposal.</w:t>
            </w:r>
          </w:p>
          <w:p w:rsidR="003645E5" w14:paraId="0EC340EC" w14:textId="77777777">
            <w:pPr>
              <w:spacing w:after="0" w:line="252" w:lineRule="auto"/>
              <w:rPr>
                <w:rFonts w:ascii="Arial" w:eastAsia="Arial" w:hAnsi="Arial" w:cs="Arial"/>
                <w:color w:val="000000"/>
                <w:sz w:val="18"/>
                <w:szCs w:val="40"/>
              </w:rPr>
            </w:pPr>
          </w:p>
        </w:tc>
      </w:tr>
    </w:tbl>
    <w:bookmarkEnd w:id="21"/>
    <w:p w:rsidR="008F2F6B" w:rsidRPr="00714186" w:rsidP="00714186" w14:paraId="12C70D68" w14:textId="44B924B4">
      <w:pPr>
        <w:spacing w:after="0" w:line="252" w:lineRule="auto"/>
        <w:rPr>
          <w:rFonts w:ascii="Arial" w:hAnsi="Arial" w:cs="Arial"/>
          <w:sz w:val="20"/>
          <w:szCs w:val="20"/>
        </w:rPr>
      </w:pPr>
      <w:r>
        <w:rPr>
          <w:rFonts w:ascii="Arial" w:hAnsi="Arial" w:cs="Arial"/>
          <w:i/>
          <w:iCs/>
          <w:sz w:val="16"/>
          <w:szCs w:val="16"/>
        </w:rPr>
        <w:t xml:space="preserve">Source: Investment </w:t>
      </w:r>
      <w:r w:rsidR="00F67927">
        <w:rPr>
          <w:rFonts w:ascii="Arial" w:hAnsi="Arial" w:cs="Arial"/>
          <w:i/>
          <w:iCs/>
          <w:sz w:val="16"/>
          <w:szCs w:val="16"/>
        </w:rPr>
        <w:t>m</w:t>
      </w:r>
      <w:r>
        <w:rPr>
          <w:rFonts w:ascii="Arial" w:hAnsi="Arial" w:cs="Arial"/>
          <w:i/>
          <w:iCs/>
          <w:sz w:val="16"/>
          <w:szCs w:val="16"/>
        </w:rPr>
        <w:t xml:space="preserve">anagers. </w:t>
      </w:r>
    </w:p>
    <w:sectPr w:rsidSect="008F2F6B">
      <w:footerReference w:type="default" r:id="rId8"/>
      <w:pgSz w:w="11906" w:h="16838"/>
      <w:pgMar w:top="1440" w:right="836"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99382031"/>
      <w:docPartObj>
        <w:docPartGallery w:val="Page Numbers (Bottom of Page)"/>
        <w:docPartUnique/>
      </w:docPartObj>
    </w:sdtPr>
    <w:sdtEndPr>
      <w:rPr>
        <w:rFonts w:ascii="Arial" w:hAnsi="Arial" w:cs="Arial"/>
        <w:noProof/>
        <w:sz w:val="16"/>
        <w:szCs w:val="16"/>
      </w:rPr>
    </w:sdtEndPr>
    <w:sdtContent>
      <w:p w:rsidR="00A50ECC" w:rsidRPr="00A50ECC" w14:paraId="3737DDAC" w14:textId="77777777">
        <w:pPr>
          <w:pStyle w:val="Footer"/>
          <w:rPr>
            <w:rFonts w:ascii="Arial" w:hAnsi="Arial" w:cs="Arial"/>
            <w:sz w:val="16"/>
            <w:szCs w:val="16"/>
          </w:rPr>
        </w:pPr>
        <w:r w:rsidRPr="00A50ECC">
          <w:rPr>
            <w:rFonts w:ascii="Arial" w:hAnsi="Arial" w:cs="Arial"/>
            <w:sz w:val="16"/>
            <w:szCs w:val="16"/>
          </w:rPr>
          <w:fldChar w:fldCharType="begin"/>
        </w:r>
        <w:r w:rsidRPr="00A50ECC">
          <w:rPr>
            <w:rFonts w:ascii="Arial" w:hAnsi="Arial" w:cs="Arial"/>
            <w:sz w:val="16"/>
            <w:szCs w:val="16"/>
          </w:rPr>
          <w:instrText xml:space="preserve"> PAGE   \* MERGEFORMAT </w:instrText>
        </w:r>
        <w:r w:rsidRPr="00A50ECC">
          <w:rPr>
            <w:rFonts w:ascii="Arial" w:hAnsi="Arial" w:cs="Arial"/>
            <w:sz w:val="16"/>
            <w:szCs w:val="16"/>
          </w:rPr>
          <w:fldChar w:fldCharType="separate"/>
        </w:r>
        <w:r w:rsidRPr="00A50ECC">
          <w:rPr>
            <w:rFonts w:ascii="Arial" w:hAnsi="Arial" w:cs="Arial"/>
            <w:noProof/>
            <w:sz w:val="16"/>
            <w:szCs w:val="16"/>
          </w:rPr>
          <w:t>9</w:t>
        </w:r>
        <w:r w:rsidRPr="00A50ECC">
          <w:rPr>
            <w:rFonts w:ascii="Arial" w:hAnsi="Arial" w:cs="Arial"/>
            <w:noProof/>
            <w:sz w:val="16"/>
            <w:szCs w:val="16"/>
          </w:rPr>
          <w:fldChar w:fldCharType="end"/>
        </w:r>
      </w:p>
    </w:sdtContent>
  </w:sdt>
  <w:p w:rsidR="00186C80" w14:paraId="753FE1C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31802508"/>
      <w:docPartObj>
        <w:docPartGallery w:val="Page Numbers (Bottom of Page)"/>
        <w:docPartUnique/>
      </w:docPartObj>
    </w:sdtPr>
    <w:sdtEndPr>
      <w:rPr>
        <w:rFonts w:ascii="Arial" w:hAnsi="Arial" w:cs="Arial"/>
        <w:noProof/>
        <w:sz w:val="16"/>
        <w:szCs w:val="16"/>
      </w:rPr>
    </w:sdtEndPr>
    <w:sdtContent>
      <w:p w:rsidR="00A50ECC" w:rsidRPr="00A50ECC" w14:paraId="466A3F29" w14:textId="77777777">
        <w:pPr>
          <w:pStyle w:val="Footer"/>
          <w:rPr>
            <w:rFonts w:ascii="Arial" w:hAnsi="Arial" w:cs="Arial"/>
            <w:sz w:val="16"/>
            <w:szCs w:val="16"/>
          </w:rPr>
        </w:pPr>
        <w:r w:rsidRPr="00A50ECC">
          <w:rPr>
            <w:rFonts w:ascii="Arial" w:hAnsi="Arial" w:cs="Arial"/>
            <w:sz w:val="16"/>
            <w:szCs w:val="16"/>
          </w:rPr>
          <w:fldChar w:fldCharType="begin"/>
        </w:r>
        <w:r w:rsidRPr="00A50ECC">
          <w:rPr>
            <w:rFonts w:ascii="Arial" w:hAnsi="Arial" w:cs="Arial"/>
            <w:sz w:val="16"/>
            <w:szCs w:val="16"/>
          </w:rPr>
          <w:instrText xml:space="preserve"> PAGE   \* MERGEFORMAT </w:instrText>
        </w:r>
        <w:r w:rsidRPr="00A50ECC">
          <w:rPr>
            <w:rFonts w:ascii="Arial" w:hAnsi="Arial" w:cs="Arial"/>
            <w:sz w:val="16"/>
            <w:szCs w:val="16"/>
          </w:rPr>
          <w:fldChar w:fldCharType="separate"/>
        </w:r>
        <w:r w:rsidRPr="00A50ECC">
          <w:rPr>
            <w:rFonts w:ascii="Arial" w:hAnsi="Arial" w:cs="Arial"/>
            <w:noProof/>
            <w:sz w:val="16"/>
            <w:szCs w:val="16"/>
          </w:rPr>
          <w:t>9</w:t>
        </w:r>
        <w:r w:rsidRPr="00A50ECC">
          <w:rPr>
            <w:rFonts w:ascii="Arial" w:hAnsi="Arial" w:cs="Arial"/>
            <w:noProof/>
            <w:sz w:val="16"/>
            <w:szCs w:val="16"/>
          </w:rPr>
          <w:fldChar w:fldCharType="end"/>
        </w:r>
      </w:p>
    </w:sdtContent>
  </w:sdt>
  <w:p w:rsidR="00186C80" w14:paraId="7505DD9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05319CB"/>
    <w:multiLevelType w:val="hybridMultilevel"/>
    <w:tmpl w:val="6C9E5564"/>
    <w:lvl w:ilvl="0">
      <w:start w:val="1"/>
      <w:numFmt w:val="bullet"/>
      <w:lvlText w:val=""/>
      <w:lvlJc w:val="left"/>
      <w:pPr>
        <w:ind w:left="3060" w:hanging="360"/>
      </w:pPr>
      <w:rPr>
        <w:rFonts w:ascii="Symbol" w:hAnsi="Symbol" w:hint="default"/>
      </w:rPr>
    </w:lvl>
    <w:lvl w:ilvl="1" w:tentative="1">
      <w:start w:val="1"/>
      <w:numFmt w:val="bullet"/>
      <w:lvlText w:val="o"/>
      <w:lvlJc w:val="left"/>
      <w:pPr>
        <w:ind w:left="3780" w:hanging="360"/>
      </w:pPr>
      <w:rPr>
        <w:rFonts w:ascii="Courier New" w:hAnsi="Courier New" w:cs="Courier New" w:hint="default"/>
      </w:rPr>
    </w:lvl>
    <w:lvl w:ilvl="2" w:tentative="1">
      <w:start w:val="1"/>
      <w:numFmt w:val="bullet"/>
      <w:lvlText w:val=""/>
      <w:lvlJc w:val="left"/>
      <w:pPr>
        <w:ind w:left="4500" w:hanging="360"/>
      </w:pPr>
      <w:rPr>
        <w:rFonts w:ascii="Wingdings" w:hAnsi="Wingdings" w:hint="default"/>
      </w:rPr>
    </w:lvl>
    <w:lvl w:ilvl="3" w:tentative="1">
      <w:start w:val="1"/>
      <w:numFmt w:val="bullet"/>
      <w:lvlText w:val=""/>
      <w:lvlJc w:val="left"/>
      <w:pPr>
        <w:ind w:left="5220" w:hanging="360"/>
      </w:pPr>
      <w:rPr>
        <w:rFonts w:ascii="Symbol" w:hAnsi="Symbol" w:hint="default"/>
      </w:rPr>
    </w:lvl>
    <w:lvl w:ilvl="4" w:tentative="1">
      <w:start w:val="1"/>
      <w:numFmt w:val="bullet"/>
      <w:lvlText w:val="o"/>
      <w:lvlJc w:val="left"/>
      <w:pPr>
        <w:ind w:left="5940" w:hanging="360"/>
      </w:pPr>
      <w:rPr>
        <w:rFonts w:ascii="Courier New" w:hAnsi="Courier New" w:cs="Courier New" w:hint="default"/>
      </w:rPr>
    </w:lvl>
    <w:lvl w:ilvl="5" w:tentative="1">
      <w:start w:val="1"/>
      <w:numFmt w:val="bullet"/>
      <w:lvlText w:val=""/>
      <w:lvlJc w:val="left"/>
      <w:pPr>
        <w:ind w:left="6660" w:hanging="360"/>
      </w:pPr>
      <w:rPr>
        <w:rFonts w:ascii="Wingdings" w:hAnsi="Wingdings" w:hint="default"/>
      </w:rPr>
    </w:lvl>
    <w:lvl w:ilvl="6" w:tentative="1">
      <w:start w:val="1"/>
      <w:numFmt w:val="bullet"/>
      <w:lvlText w:val=""/>
      <w:lvlJc w:val="left"/>
      <w:pPr>
        <w:ind w:left="7380" w:hanging="360"/>
      </w:pPr>
      <w:rPr>
        <w:rFonts w:ascii="Symbol" w:hAnsi="Symbol" w:hint="default"/>
      </w:rPr>
    </w:lvl>
    <w:lvl w:ilvl="7" w:tentative="1">
      <w:start w:val="1"/>
      <w:numFmt w:val="bullet"/>
      <w:lvlText w:val="o"/>
      <w:lvlJc w:val="left"/>
      <w:pPr>
        <w:ind w:left="8100" w:hanging="360"/>
      </w:pPr>
      <w:rPr>
        <w:rFonts w:ascii="Courier New" w:hAnsi="Courier New" w:cs="Courier New" w:hint="default"/>
      </w:rPr>
    </w:lvl>
    <w:lvl w:ilvl="8" w:tentative="1">
      <w:start w:val="1"/>
      <w:numFmt w:val="bullet"/>
      <w:lvlText w:val=""/>
      <w:lvlJc w:val="left"/>
      <w:pPr>
        <w:ind w:left="8820" w:hanging="360"/>
      </w:pPr>
      <w:rPr>
        <w:rFonts w:ascii="Wingdings" w:hAnsi="Wingdings" w:hint="default"/>
      </w:rPr>
    </w:lvl>
  </w:abstractNum>
  <w:abstractNum w:abstractNumId="1" w15:restartNumberingAfterBreak="0">
    <w:nsid w:val="055C37A4"/>
    <w:multiLevelType w:val="hybridMultilevel"/>
    <w:tmpl w:val="9BEE89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A631E81"/>
    <w:multiLevelType w:val="hybridMultilevel"/>
    <w:tmpl w:val="FFCE3A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12D111CE"/>
    <w:multiLevelType w:val="hybridMultilevel"/>
    <w:tmpl w:val="597A1D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15:restartNumberingAfterBreak="0">
    <w:nsid w:val="13E45590"/>
    <w:multiLevelType w:val="hybridMultilevel"/>
    <w:tmpl w:val="6B366BB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16545346"/>
    <w:multiLevelType w:val="hybridMultilevel"/>
    <w:tmpl w:val="F804395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15:restartNumberingAfterBreak="0">
    <w:nsid w:val="1DB97298"/>
    <w:multiLevelType w:val="hybridMultilevel"/>
    <w:tmpl w:val="F4F4C2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EDD4AF9"/>
    <w:multiLevelType w:val="hybridMultilevel"/>
    <w:tmpl w:val="0FD6EC0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F6224DB"/>
    <w:multiLevelType w:val="hybridMultilevel"/>
    <w:tmpl w:val="2FC28DB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214A3D74"/>
    <w:multiLevelType w:val="hybridMultilevel"/>
    <w:tmpl w:val="9E80FF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5E0470E"/>
    <w:multiLevelType w:val="multilevel"/>
    <w:tmpl w:val="56A44EF0"/>
    <w:numStyleLink w:val="ListBullets"/>
  </w:abstractNum>
  <w:abstractNum w:abstractNumId="11" w15:restartNumberingAfterBreak="0">
    <w:nsid w:val="26204F8A"/>
    <w:multiLevelType w:val="hybridMultilevel"/>
    <w:tmpl w:val="67B4E27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15:restartNumberingAfterBreak="0">
    <w:nsid w:val="283B1234"/>
    <w:multiLevelType w:val="hybridMultilevel"/>
    <w:tmpl w:val="169EEC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292523B7"/>
    <w:multiLevelType w:val="hybridMultilevel"/>
    <w:tmpl w:val="7546640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15:restartNumberingAfterBreak="0">
    <w:nsid w:val="2F2270FB"/>
    <w:multiLevelType w:val="hybridMultilevel"/>
    <w:tmpl w:val="2742702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34210F65"/>
    <w:multiLevelType w:val="hybridMultilevel"/>
    <w:tmpl w:val="56D81C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5A00BF4"/>
    <w:multiLevelType w:val="hybridMultilevel"/>
    <w:tmpl w:val="755E2C70"/>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15:restartNumberingAfterBreak="0">
    <w:nsid w:val="391808C3"/>
    <w:multiLevelType w:val="hybridMultilevel"/>
    <w:tmpl w:val="9D1EF73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15:restartNumberingAfterBreak="0">
    <w:nsid w:val="3A80759C"/>
    <w:multiLevelType w:val="hybridMultilevel"/>
    <w:tmpl w:val="F84616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3EE34107"/>
    <w:multiLevelType w:val="hybridMultilevel"/>
    <w:tmpl w:val="E2FEC2C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15:restartNumberingAfterBreak="0">
    <w:nsid w:val="42630FC2"/>
    <w:multiLevelType w:val="multilevel"/>
    <w:tmpl w:val="56A44EF0"/>
    <w:styleLink w:val="ListBullets"/>
    <w:lvl w:ilvl="0">
      <w:start w:val="1"/>
      <w:numFmt w:val="bullet"/>
      <w:pStyle w:val="ListBullet"/>
      <w:lvlText w:val="▪"/>
      <w:lvlJc w:val="left"/>
      <w:pPr>
        <w:ind w:left="170" w:hanging="170"/>
      </w:pPr>
      <w:rPr>
        <w:rFonts w:ascii="Arial" w:hAnsi="Arial"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Arial" w:hAnsi="Arial" w:hint="default"/>
      </w:rPr>
    </w:lvl>
    <w:lvl w:ilvl="3">
      <w:start w:val="1"/>
      <w:numFmt w:val="none"/>
      <w:lvlJc w:val="left"/>
      <w:pPr>
        <w:ind w:left="680" w:hanging="170"/>
      </w:pPr>
      <w:rPr>
        <w:rFonts w:hint="default"/>
      </w:rPr>
    </w:lvl>
    <w:lvl w:ilvl="4">
      <w:start w:val="1"/>
      <w:numFmt w:val="none"/>
      <w:lvlJc w:val="left"/>
      <w:pPr>
        <w:ind w:left="850" w:hanging="170"/>
      </w:pPr>
      <w:rPr>
        <w:rFonts w:hint="default"/>
      </w:rPr>
    </w:lvl>
    <w:lvl w:ilvl="5">
      <w:start w:val="1"/>
      <w:numFmt w:val="none"/>
      <w:lvlJc w:val="left"/>
      <w:pPr>
        <w:ind w:left="1020" w:hanging="170"/>
      </w:pPr>
      <w:rPr>
        <w:rFonts w:hint="default"/>
      </w:rPr>
    </w:lvl>
    <w:lvl w:ilvl="6">
      <w:start w:val="1"/>
      <w:numFmt w:val="none"/>
      <w:lvlJc w:val="left"/>
      <w:pPr>
        <w:ind w:left="1190" w:hanging="170"/>
      </w:pPr>
      <w:rPr>
        <w:rFonts w:hint="default"/>
      </w:rPr>
    </w:lvl>
    <w:lvl w:ilvl="7">
      <w:start w:val="1"/>
      <w:numFmt w:val="none"/>
      <w:lvlJc w:val="left"/>
      <w:pPr>
        <w:ind w:left="1360" w:hanging="170"/>
      </w:pPr>
      <w:rPr>
        <w:rFonts w:hint="default"/>
      </w:rPr>
    </w:lvl>
    <w:lvl w:ilvl="8">
      <w:start w:val="1"/>
      <w:numFmt w:val="none"/>
      <w:lvlJc w:val="left"/>
      <w:pPr>
        <w:ind w:left="1530" w:hanging="170"/>
      </w:pPr>
      <w:rPr>
        <w:rFonts w:hint="default"/>
      </w:rPr>
    </w:lvl>
  </w:abstractNum>
  <w:abstractNum w:abstractNumId="21" w15:restartNumberingAfterBreak="0">
    <w:nsid w:val="44B22640"/>
    <w:multiLevelType w:val="hybridMultilevel"/>
    <w:tmpl w:val="64348F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15:restartNumberingAfterBreak="0">
    <w:nsid w:val="4B9A1BF2"/>
    <w:multiLevelType w:val="hybridMultilevel"/>
    <w:tmpl w:val="A338080A"/>
    <w:lvl w:ilvl="0">
      <w:start w:val="2"/>
      <w:numFmt w:val="decimal"/>
      <w:lvlText w:val="%1."/>
      <w:lvlJc w:val="left"/>
      <w:pPr>
        <w:ind w:left="153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3" w15:restartNumberingAfterBreak="0">
    <w:nsid w:val="50C728A3"/>
    <w:multiLevelType w:val="hybridMultilevel"/>
    <w:tmpl w:val="380EC5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52D754FC"/>
    <w:multiLevelType w:val="hybridMultilevel"/>
    <w:tmpl w:val="FF5053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15:restartNumberingAfterBreak="0">
    <w:nsid w:val="543B1E67"/>
    <w:multiLevelType w:val="hybridMultilevel"/>
    <w:tmpl w:val="380EC5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15:restartNumberingAfterBreak="0">
    <w:nsid w:val="57DA0C79"/>
    <w:multiLevelType w:val="hybridMultilevel"/>
    <w:tmpl w:val="466E497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58D36BF2"/>
    <w:multiLevelType w:val="hybridMultilevel"/>
    <w:tmpl w:val="C40A55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15:restartNumberingAfterBreak="0">
    <w:nsid w:val="5C057F24"/>
    <w:multiLevelType w:val="hybridMultilevel"/>
    <w:tmpl w:val="CC4C050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15:restartNumberingAfterBreak="0">
    <w:nsid w:val="64EE5C8A"/>
    <w:multiLevelType w:val="multilevel"/>
    <w:tmpl w:val="E20A2198"/>
    <w:lvl w:ilvl="0">
      <w:start w:val="1"/>
      <w:numFmt w:val="decimal"/>
      <w:lvlText w:val="%1."/>
      <w:lvlJc w:val="left"/>
      <w:pPr>
        <w:tabs>
          <w:tab w:val="num" w:pos="1890"/>
        </w:tabs>
        <w:ind w:left="1890" w:hanging="720"/>
      </w:pPr>
    </w:lvl>
    <w:lvl w:ilvl="1">
      <w:start w:val="1"/>
      <w:numFmt w:val="decimal"/>
      <w:lvlText w:val="%2."/>
      <w:lvlJc w:val="left"/>
      <w:pPr>
        <w:tabs>
          <w:tab w:val="num" w:pos="2610"/>
        </w:tabs>
        <w:ind w:left="2610" w:hanging="720"/>
      </w:pPr>
    </w:lvl>
    <w:lvl w:ilvl="2">
      <w:start w:val="1"/>
      <w:numFmt w:val="decimal"/>
      <w:lvlText w:val="%3."/>
      <w:lvlJc w:val="left"/>
      <w:pPr>
        <w:tabs>
          <w:tab w:val="num" w:pos="3330"/>
        </w:tabs>
        <w:ind w:left="3330" w:hanging="720"/>
      </w:pPr>
    </w:lvl>
    <w:lvl w:ilvl="3">
      <w:start w:val="1"/>
      <w:numFmt w:val="decimal"/>
      <w:lvlText w:val="%4."/>
      <w:lvlJc w:val="left"/>
      <w:pPr>
        <w:tabs>
          <w:tab w:val="num" w:pos="4050"/>
        </w:tabs>
        <w:ind w:left="4050" w:hanging="720"/>
      </w:pPr>
    </w:lvl>
    <w:lvl w:ilvl="4">
      <w:start w:val="1"/>
      <w:numFmt w:val="decimal"/>
      <w:lvlText w:val="%5."/>
      <w:lvlJc w:val="left"/>
      <w:pPr>
        <w:tabs>
          <w:tab w:val="num" w:pos="4770"/>
        </w:tabs>
        <w:ind w:left="4770" w:hanging="720"/>
      </w:pPr>
    </w:lvl>
    <w:lvl w:ilvl="5">
      <w:start w:val="1"/>
      <w:numFmt w:val="decimal"/>
      <w:lvlText w:val="%6."/>
      <w:lvlJc w:val="left"/>
      <w:pPr>
        <w:tabs>
          <w:tab w:val="num" w:pos="5490"/>
        </w:tabs>
        <w:ind w:left="5490" w:hanging="720"/>
      </w:pPr>
    </w:lvl>
    <w:lvl w:ilvl="6">
      <w:start w:val="1"/>
      <w:numFmt w:val="decimal"/>
      <w:lvlText w:val="%7."/>
      <w:lvlJc w:val="left"/>
      <w:pPr>
        <w:tabs>
          <w:tab w:val="num" w:pos="6210"/>
        </w:tabs>
        <w:ind w:left="6210" w:hanging="720"/>
      </w:pPr>
    </w:lvl>
    <w:lvl w:ilvl="7">
      <w:start w:val="1"/>
      <w:numFmt w:val="decimal"/>
      <w:lvlText w:val="%8."/>
      <w:lvlJc w:val="left"/>
      <w:pPr>
        <w:tabs>
          <w:tab w:val="num" w:pos="6930"/>
        </w:tabs>
        <w:ind w:left="6930" w:hanging="720"/>
      </w:pPr>
    </w:lvl>
    <w:lvl w:ilvl="8">
      <w:start w:val="1"/>
      <w:numFmt w:val="decimal"/>
      <w:lvlText w:val="%9."/>
      <w:lvlJc w:val="left"/>
      <w:pPr>
        <w:tabs>
          <w:tab w:val="num" w:pos="7650"/>
        </w:tabs>
        <w:ind w:left="7650" w:hanging="720"/>
      </w:pPr>
    </w:lvl>
  </w:abstractNum>
  <w:abstractNum w:abstractNumId="30" w15:restartNumberingAfterBreak="0">
    <w:nsid w:val="66272D60"/>
    <w:multiLevelType w:val="hybridMultilevel"/>
    <w:tmpl w:val="090EAA0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15:restartNumberingAfterBreak="0">
    <w:nsid w:val="66C032CB"/>
    <w:multiLevelType w:val="hybridMultilevel"/>
    <w:tmpl w:val="8F1C8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15:restartNumberingAfterBreak="0">
    <w:nsid w:val="6CAB381F"/>
    <w:multiLevelType w:val="hybridMultilevel"/>
    <w:tmpl w:val="A000A8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DE242FB"/>
    <w:multiLevelType w:val="hybridMultilevel"/>
    <w:tmpl w:val="0A92CE3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15:restartNumberingAfterBreak="0">
    <w:nsid w:val="6E754887"/>
    <w:multiLevelType w:val="hybridMultilevel"/>
    <w:tmpl w:val="7084100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15:restartNumberingAfterBreak="0">
    <w:nsid w:val="70A11E0E"/>
    <w:multiLevelType w:val="hybridMultilevel"/>
    <w:tmpl w:val="380EC5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15:restartNumberingAfterBreak="0">
    <w:nsid w:val="78FA621B"/>
    <w:multiLevelType w:val="hybridMultilevel"/>
    <w:tmpl w:val="69CE64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15:restartNumberingAfterBreak="0">
    <w:nsid w:val="7E600E2A"/>
    <w:multiLevelType w:val="hybridMultilevel"/>
    <w:tmpl w:val="3D16D3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15:restartNumberingAfterBreak="0">
    <w:nsid w:val="7E600E2B"/>
    <w:multiLevelType w:val="multilevel"/>
    <w:tmpl w:val="7E600E2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E600E2C"/>
    <w:multiLevelType w:val="hybridMultilevel"/>
    <w:tmpl w:val="7E600E2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15:restartNumberingAfterBreak="0">
    <w:nsid w:val="7E600E2D"/>
    <w:multiLevelType w:val="multilevel"/>
    <w:tmpl w:val="7E600E2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46185719">
    <w:abstractNumId w:val="10"/>
  </w:num>
  <w:num w:numId="2" w16cid:durableId="1354922129">
    <w:abstractNumId w:val="20"/>
  </w:num>
  <w:num w:numId="3" w16cid:durableId="2037581307">
    <w:abstractNumId w:val="0"/>
  </w:num>
  <w:num w:numId="4" w16cid:durableId="337462933">
    <w:abstractNumId w:val="23"/>
  </w:num>
  <w:num w:numId="5" w16cid:durableId="1689210793">
    <w:abstractNumId w:val="15"/>
  </w:num>
  <w:num w:numId="6" w16cid:durableId="822232611">
    <w:abstractNumId w:val="18"/>
  </w:num>
  <w:num w:numId="7" w16cid:durableId="2009096642">
    <w:abstractNumId w:val="9"/>
  </w:num>
  <w:num w:numId="8" w16cid:durableId="816842051">
    <w:abstractNumId w:val="29"/>
  </w:num>
  <w:num w:numId="9" w16cid:durableId="16200731">
    <w:abstractNumId w:val="12"/>
  </w:num>
  <w:num w:numId="10" w16cid:durableId="438571417">
    <w:abstractNumId w:val="31"/>
  </w:num>
  <w:num w:numId="11" w16cid:durableId="832331856">
    <w:abstractNumId w:val="2"/>
  </w:num>
  <w:num w:numId="12" w16cid:durableId="1135871216">
    <w:abstractNumId w:val="13"/>
  </w:num>
  <w:num w:numId="13" w16cid:durableId="1373071000">
    <w:abstractNumId w:val="30"/>
  </w:num>
  <w:num w:numId="14" w16cid:durableId="1191842204">
    <w:abstractNumId w:val="19"/>
  </w:num>
  <w:num w:numId="15" w16cid:durableId="428935753">
    <w:abstractNumId w:val="24"/>
  </w:num>
  <w:num w:numId="16" w16cid:durableId="878516886">
    <w:abstractNumId w:val="16"/>
  </w:num>
  <w:num w:numId="17" w16cid:durableId="1506483122">
    <w:abstractNumId w:val="14"/>
  </w:num>
  <w:num w:numId="18" w16cid:durableId="403262722">
    <w:abstractNumId w:val="8"/>
  </w:num>
  <w:num w:numId="19" w16cid:durableId="8619374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6239095">
    <w:abstractNumId w:val="27"/>
  </w:num>
  <w:num w:numId="21" w16cid:durableId="931821492">
    <w:abstractNumId w:val="4"/>
  </w:num>
  <w:num w:numId="22" w16cid:durableId="952859141">
    <w:abstractNumId w:val="32"/>
  </w:num>
  <w:num w:numId="23" w16cid:durableId="117719800">
    <w:abstractNumId w:val="22"/>
  </w:num>
  <w:num w:numId="24" w16cid:durableId="927234530">
    <w:abstractNumId w:val="38"/>
  </w:num>
  <w:num w:numId="25" w16cid:durableId="904074917">
    <w:abstractNumId w:val="39"/>
  </w:num>
  <w:num w:numId="26" w16cid:durableId="659776803">
    <w:abstractNumId w:val="40"/>
  </w:num>
  <w:num w:numId="27" w16cid:durableId="795217073">
    <w:abstractNumId w:val="6"/>
  </w:num>
  <w:num w:numId="28" w16cid:durableId="647855814">
    <w:abstractNumId w:val="26"/>
  </w:num>
  <w:num w:numId="29" w16cid:durableId="7360573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5"/>
  <w:displayBackgroundShape/>
  <w:proofState w:spelling="clean" w:grammar="clean"/>
  <w:revisionView w:comments="1" w:formatting="0" w:inkAnnotations="1"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5E"/>
    <w:rsid w:val="00005D1D"/>
    <w:rsid w:val="000102F4"/>
    <w:rsid w:val="00013631"/>
    <w:rsid w:val="00013B25"/>
    <w:rsid w:val="00016DB4"/>
    <w:rsid w:val="000170FE"/>
    <w:rsid w:val="00020F55"/>
    <w:rsid w:val="00025DE5"/>
    <w:rsid w:val="0003297F"/>
    <w:rsid w:val="0003424B"/>
    <w:rsid w:val="00040F59"/>
    <w:rsid w:val="00043BC7"/>
    <w:rsid w:val="00044EC1"/>
    <w:rsid w:val="000454CE"/>
    <w:rsid w:val="00052728"/>
    <w:rsid w:val="00052E91"/>
    <w:rsid w:val="00053ADB"/>
    <w:rsid w:val="00055B38"/>
    <w:rsid w:val="00060173"/>
    <w:rsid w:val="000618DF"/>
    <w:rsid w:val="00062B3B"/>
    <w:rsid w:val="00066E26"/>
    <w:rsid w:val="00071598"/>
    <w:rsid w:val="0008121D"/>
    <w:rsid w:val="000937E0"/>
    <w:rsid w:val="000A078C"/>
    <w:rsid w:val="000A7CB4"/>
    <w:rsid w:val="000B24A1"/>
    <w:rsid w:val="000B2722"/>
    <w:rsid w:val="000B605C"/>
    <w:rsid w:val="000B6B41"/>
    <w:rsid w:val="000B6F18"/>
    <w:rsid w:val="000B72AE"/>
    <w:rsid w:val="000B7EB2"/>
    <w:rsid w:val="000C383C"/>
    <w:rsid w:val="000C485B"/>
    <w:rsid w:val="000D2995"/>
    <w:rsid w:val="000D3B45"/>
    <w:rsid w:val="000D4B9D"/>
    <w:rsid w:val="000D5910"/>
    <w:rsid w:val="000E2373"/>
    <w:rsid w:val="000E55BB"/>
    <w:rsid w:val="000E5B60"/>
    <w:rsid w:val="000E7CD1"/>
    <w:rsid w:val="000F2022"/>
    <w:rsid w:val="000F237C"/>
    <w:rsid w:val="000F4374"/>
    <w:rsid w:val="000F4D09"/>
    <w:rsid w:val="000F71B8"/>
    <w:rsid w:val="00100A7B"/>
    <w:rsid w:val="00102544"/>
    <w:rsid w:val="00104234"/>
    <w:rsid w:val="0011014E"/>
    <w:rsid w:val="00111D84"/>
    <w:rsid w:val="0011601D"/>
    <w:rsid w:val="0011734F"/>
    <w:rsid w:val="001254A1"/>
    <w:rsid w:val="001354F4"/>
    <w:rsid w:val="001428F6"/>
    <w:rsid w:val="001429B7"/>
    <w:rsid w:val="001432FB"/>
    <w:rsid w:val="0014498F"/>
    <w:rsid w:val="00152E09"/>
    <w:rsid w:val="001555D1"/>
    <w:rsid w:val="00161F2C"/>
    <w:rsid w:val="001649A8"/>
    <w:rsid w:val="001665C0"/>
    <w:rsid w:val="00177A76"/>
    <w:rsid w:val="00181EB7"/>
    <w:rsid w:val="0018305D"/>
    <w:rsid w:val="00184F16"/>
    <w:rsid w:val="00185463"/>
    <w:rsid w:val="00185754"/>
    <w:rsid w:val="00185F5A"/>
    <w:rsid w:val="00186819"/>
    <w:rsid w:val="00186C80"/>
    <w:rsid w:val="00187C4F"/>
    <w:rsid w:val="00191F3D"/>
    <w:rsid w:val="001A059B"/>
    <w:rsid w:val="001B0AED"/>
    <w:rsid w:val="001B5667"/>
    <w:rsid w:val="001C71C1"/>
    <w:rsid w:val="001C72CE"/>
    <w:rsid w:val="001D0B44"/>
    <w:rsid w:val="001D121E"/>
    <w:rsid w:val="001D3E2E"/>
    <w:rsid w:val="001E0D6D"/>
    <w:rsid w:val="001E5E7A"/>
    <w:rsid w:val="001F00D6"/>
    <w:rsid w:val="001F01D9"/>
    <w:rsid w:val="001F1053"/>
    <w:rsid w:val="001F115D"/>
    <w:rsid w:val="001F1B59"/>
    <w:rsid w:val="001F2F89"/>
    <w:rsid w:val="001F61AC"/>
    <w:rsid w:val="00204120"/>
    <w:rsid w:val="00215679"/>
    <w:rsid w:val="002207F8"/>
    <w:rsid w:val="002217BF"/>
    <w:rsid w:val="00222F7E"/>
    <w:rsid w:val="00223472"/>
    <w:rsid w:val="00230533"/>
    <w:rsid w:val="00231D16"/>
    <w:rsid w:val="002359C7"/>
    <w:rsid w:val="00237519"/>
    <w:rsid w:val="0024221B"/>
    <w:rsid w:val="002437BA"/>
    <w:rsid w:val="002466C5"/>
    <w:rsid w:val="002539B6"/>
    <w:rsid w:val="002636EF"/>
    <w:rsid w:val="00263BE4"/>
    <w:rsid w:val="002674FB"/>
    <w:rsid w:val="00270A76"/>
    <w:rsid w:val="00276BF0"/>
    <w:rsid w:val="002823D6"/>
    <w:rsid w:val="00282C9E"/>
    <w:rsid w:val="00282F4D"/>
    <w:rsid w:val="0028327B"/>
    <w:rsid w:val="00287B48"/>
    <w:rsid w:val="0029059E"/>
    <w:rsid w:val="00293294"/>
    <w:rsid w:val="0029764D"/>
    <w:rsid w:val="00297687"/>
    <w:rsid w:val="002A2326"/>
    <w:rsid w:val="002A2548"/>
    <w:rsid w:val="002A2DEE"/>
    <w:rsid w:val="002A37FA"/>
    <w:rsid w:val="002A4D03"/>
    <w:rsid w:val="002A5D0A"/>
    <w:rsid w:val="002A6C71"/>
    <w:rsid w:val="002A71EB"/>
    <w:rsid w:val="002B1563"/>
    <w:rsid w:val="002B335A"/>
    <w:rsid w:val="002B6244"/>
    <w:rsid w:val="002B7DF6"/>
    <w:rsid w:val="002C1F78"/>
    <w:rsid w:val="002C23DF"/>
    <w:rsid w:val="002C45C3"/>
    <w:rsid w:val="002C7327"/>
    <w:rsid w:val="002D2093"/>
    <w:rsid w:val="002D244B"/>
    <w:rsid w:val="002D2658"/>
    <w:rsid w:val="002D4789"/>
    <w:rsid w:val="002D5545"/>
    <w:rsid w:val="002D5960"/>
    <w:rsid w:val="002D6DD9"/>
    <w:rsid w:val="002E2FAA"/>
    <w:rsid w:val="002E7234"/>
    <w:rsid w:val="002F3D79"/>
    <w:rsid w:val="003041F8"/>
    <w:rsid w:val="003058BC"/>
    <w:rsid w:val="00316B2E"/>
    <w:rsid w:val="00321886"/>
    <w:rsid w:val="003224BF"/>
    <w:rsid w:val="003239D8"/>
    <w:rsid w:val="00323E17"/>
    <w:rsid w:val="003420B5"/>
    <w:rsid w:val="00345DD7"/>
    <w:rsid w:val="0035308B"/>
    <w:rsid w:val="00360CD1"/>
    <w:rsid w:val="0036191E"/>
    <w:rsid w:val="003645E5"/>
    <w:rsid w:val="00367544"/>
    <w:rsid w:val="003712BA"/>
    <w:rsid w:val="00372522"/>
    <w:rsid w:val="00374F7B"/>
    <w:rsid w:val="00382304"/>
    <w:rsid w:val="0039363F"/>
    <w:rsid w:val="00397298"/>
    <w:rsid w:val="00397A3A"/>
    <w:rsid w:val="003B5213"/>
    <w:rsid w:val="003B5A68"/>
    <w:rsid w:val="003C1C33"/>
    <w:rsid w:val="003C2AA2"/>
    <w:rsid w:val="003C3371"/>
    <w:rsid w:val="003D0510"/>
    <w:rsid w:val="003D0E39"/>
    <w:rsid w:val="003D1858"/>
    <w:rsid w:val="003D38A1"/>
    <w:rsid w:val="003D403E"/>
    <w:rsid w:val="003D56C1"/>
    <w:rsid w:val="003D6B20"/>
    <w:rsid w:val="003E165B"/>
    <w:rsid w:val="003E2476"/>
    <w:rsid w:val="003E3B8F"/>
    <w:rsid w:val="003E635B"/>
    <w:rsid w:val="003F0FD9"/>
    <w:rsid w:val="003F1B9A"/>
    <w:rsid w:val="003F6483"/>
    <w:rsid w:val="003F6BB8"/>
    <w:rsid w:val="003F6DD0"/>
    <w:rsid w:val="00400601"/>
    <w:rsid w:val="004014BD"/>
    <w:rsid w:val="004014FA"/>
    <w:rsid w:val="00406446"/>
    <w:rsid w:val="00412A0D"/>
    <w:rsid w:val="004208A7"/>
    <w:rsid w:val="00422331"/>
    <w:rsid w:val="00422C76"/>
    <w:rsid w:val="00423AD1"/>
    <w:rsid w:val="004267F3"/>
    <w:rsid w:val="0043395B"/>
    <w:rsid w:val="00433CB1"/>
    <w:rsid w:val="004370B7"/>
    <w:rsid w:val="0045108C"/>
    <w:rsid w:val="00452716"/>
    <w:rsid w:val="00463A60"/>
    <w:rsid w:val="00463EAF"/>
    <w:rsid w:val="004641AB"/>
    <w:rsid w:val="00465F15"/>
    <w:rsid w:val="00471618"/>
    <w:rsid w:val="00481F63"/>
    <w:rsid w:val="00486BCE"/>
    <w:rsid w:val="00486F21"/>
    <w:rsid w:val="00493CD4"/>
    <w:rsid w:val="00494E47"/>
    <w:rsid w:val="0049659B"/>
    <w:rsid w:val="00496A4E"/>
    <w:rsid w:val="004A7623"/>
    <w:rsid w:val="004B122B"/>
    <w:rsid w:val="004B1C1D"/>
    <w:rsid w:val="004B231F"/>
    <w:rsid w:val="004B3075"/>
    <w:rsid w:val="004B33D1"/>
    <w:rsid w:val="004B342D"/>
    <w:rsid w:val="004B521E"/>
    <w:rsid w:val="004C0A36"/>
    <w:rsid w:val="004C42BA"/>
    <w:rsid w:val="004C4354"/>
    <w:rsid w:val="004F1221"/>
    <w:rsid w:val="004F38BA"/>
    <w:rsid w:val="004F55B7"/>
    <w:rsid w:val="00514F82"/>
    <w:rsid w:val="005165CD"/>
    <w:rsid w:val="005179F3"/>
    <w:rsid w:val="00517D01"/>
    <w:rsid w:val="005231C6"/>
    <w:rsid w:val="00524D60"/>
    <w:rsid w:val="005253B2"/>
    <w:rsid w:val="005270EA"/>
    <w:rsid w:val="00533DA3"/>
    <w:rsid w:val="00536436"/>
    <w:rsid w:val="0054478B"/>
    <w:rsid w:val="005447E9"/>
    <w:rsid w:val="0054587A"/>
    <w:rsid w:val="00546B85"/>
    <w:rsid w:val="005474AC"/>
    <w:rsid w:val="005524B3"/>
    <w:rsid w:val="00557B8D"/>
    <w:rsid w:val="005633A7"/>
    <w:rsid w:val="005724B0"/>
    <w:rsid w:val="005734C5"/>
    <w:rsid w:val="00575543"/>
    <w:rsid w:val="00577822"/>
    <w:rsid w:val="00580F38"/>
    <w:rsid w:val="00586B2D"/>
    <w:rsid w:val="00590203"/>
    <w:rsid w:val="00593D65"/>
    <w:rsid w:val="005B5777"/>
    <w:rsid w:val="005B6ABB"/>
    <w:rsid w:val="005C12B1"/>
    <w:rsid w:val="005C26F8"/>
    <w:rsid w:val="005C2817"/>
    <w:rsid w:val="005C6DB6"/>
    <w:rsid w:val="005D5B99"/>
    <w:rsid w:val="005D725E"/>
    <w:rsid w:val="005E0F66"/>
    <w:rsid w:val="005E145E"/>
    <w:rsid w:val="005E1ADC"/>
    <w:rsid w:val="005E3241"/>
    <w:rsid w:val="005F58CA"/>
    <w:rsid w:val="005F5BFE"/>
    <w:rsid w:val="005F65DD"/>
    <w:rsid w:val="006015E2"/>
    <w:rsid w:val="00602B4B"/>
    <w:rsid w:val="0060437E"/>
    <w:rsid w:val="0061499A"/>
    <w:rsid w:val="006165CE"/>
    <w:rsid w:val="006338B1"/>
    <w:rsid w:val="00635DFB"/>
    <w:rsid w:val="0064309C"/>
    <w:rsid w:val="0064321B"/>
    <w:rsid w:val="0065357E"/>
    <w:rsid w:val="00655201"/>
    <w:rsid w:val="006655B7"/>
    <w:rsid w:val="00667D6D"/>
    <w:rsid w:val="00672F55"/>
    <w:rsid w:val="0067323D"/>
    <w:rsid w:val="006757B5"/>
    <w:rsid w:val="00675F5A"/>
    <w:rsid w:val="00675F60"/>
    <w:rsid w:val="00677630"/>
    <w:rsid w:val="00677FEF"/>
    <w:rsid w:val="0068102D"/>
    <w:rsid w:val="00687CF0"/>
    <w:rsid w:val="006902C0"/>
    <w:rsid w:val="00690F8F"/>
    <w:rsid w:val="00694F86"/>
    <w:rsid w:val="00695907"/>
    <w:rsid w:val="006974E2"/>
    <w:rsid w:val="006A0B76"/>
    <w:rsid w:val="006A5718"/>
    <w:rsid w:val="006B0DA6"/>
    <w:rsid w:val="006B521D"/>
    <w:rsid w:val="006C423E"/>
    <w:rsid w:val="006D143A"/>
    <w:rsid w:val="006D5708"/>
    <w:rsid w:val="006E0688"/>
    <w:rsid w:val="006E14D4"/>
    <w:rsid w:val="006E6F2B"/>
    <w:rsid w:val="006F0510"/>
    <w:rsid w:val="006F2F1F"/>
    <w:rsid w:val="006F4546"/>
    <w:rsid w:val="00706073"/>
    <w:rsid w:val="007060D1"/>
    <w:rsid w:val="0071256D"/>
    <w:rsid w:val="00714186"/>
    <w:rsid w:val="00720F76"/>
    <w:rsid w:val="0072211D"/>
    <w:rsid w:val="00723008"/>
    <w:rsid w:val="00725CC6"/>
    <w:rsid w:val="00731217"/>
    <w:rsid w:val="0073166B"/>
    <w:rsid w:val="0074504A"/>
    <w:rsid w:val="00750C16"/>
    <w:rsid w:val="007553AE"/>
    <w:rsid w:val="00755AB7"/>
    <w:rsid w:val="00764CF4"/>
    <w:rsid w:val="007660CD"/>
    <w:rsid w:val="00773899"/>
    <w:rsid w:val="00782008"/>
    <w:rsid w:val="007A6E70"/>
    <w:rsid w:val="007B1211"/>
    <w:rsid w:val="007B4838"/>
    <w:rsid w:val="007B5F28"/>
    <w:rsid w:val="007C022F"/>
    <w:rsid w:val="007D011C"/>
    <w:rsid w:val="007D1147"/>
    <w:rsid w:val="007D41B9"/>
    <w:rsid w:val="007E18ED"/>
    <w:rsid w:val="007E2AD1"/>
    <w:rsid w:val="007F2D5E"/>
    <w:rsid w:val="007F35BC"/>
    <w:rsid w:val="007F5522"/>
    <w:rsid w:val="007F785E"/>
    <w:rsid w:val="007F7E2E"/>
    <w:rsid w:val="00800119"/>
    <w:rsid w:val="00805D2D"/>
    <w:rsid w:val="008066D6"/>
    <w:rsid w:val="00813B90"/>
    <w:rsid w:val="00817995"/>
    <w:rsid w:val="00817D61"/>
    <w:rsid w:val="00821792"/>
    <w:rsid w:val="00822BE8"/>
    <w:rsid w:val="00823A71"/>
    <w:rsid w:val="00827BCA"/>
    <w:rsid w:val="00830A01"/>
    <w:rsid w:val="00831B5C"/>
    <w:rsid w:val="0083245D"/>
    <w:rsid w:val="00832D40"/>
    <w:rsid w:val="0083305F"/>
    <w:rsid w:val="00842116"/>
    <w:rsid w:val="00851337"/>
    <w:rsid w:val="00855DE3"/>
    <w:rsid w:val="00860662"/>
    <w:rsid w:val="00864EBE"/>
    <w:rsid w:val="0086656C"/>
    <w:rsid w:val="00873179"/>
    <w:rsid w:val="00874132"/>
    <w:rsid w:val="00875ACC"/>
    <w:rsid w:val="00876C4A"/>
    <w:rsid w:val="00890D70"/>
    <w:rsid w:val="008A07D1"/>
    <w:rsid w:val="008A1EAD"/>
    <w:rsid w:val="008B12CC"/>
    <w:rsid w:val="008B754B"/>
    <w:rsid w:val="008C3801"/>
    <w:rsid w:val="008C6E6A"/>
    <w:rsid w:val="008D2AA0"/>
    <w:rsid w:val="008D3248"/>
    <w:rsid w:val="008E374E"/>
    <w:rsid w:val="008F1E35"/>
    <w:rsid w:val="008F2F6B"/>
    <w:rsid w:val="008F3FCB"/>
    <w:rsid w:val="00900290"/>
    <w:rsid w:val="00901030"/>
    <w:rsid w:val="0090107A"/>
    <w:rsid w:val="00906803"/>
    <w:rsid w:val="009124E4"/>
    <w:rsid w:val="009134CA"/>
    <w:rsid w:val="0091590E"/>
    <w:rsid w:val="00916833"/>
    <w:rsid w:val="00925D22"/>
    <w:rsid w:val="00933B25"/>
    <w:rsid w:val="00934544"/>
    <w:rsid w:val="009364EF"/>
    <w:rsid w:val="00940B3D"/>
    <w:rsid w:val="00945EC9"/>
    <w:rsid w:val="00960EC8"/>
    <w:rsid w:val="0096597D"/>
    <w:rsid w:val="009724DA"/>
    <w:rsid w:val="0097271C"/>
    <w:rsid w:val="00975872"/>
    <w:rsid w:val="00976C9C"/>
    <w:rsid w:val="0098092C"/>
    <w:rsid w:val="00982515"/>
    <w:rsid w:val="00983D9A"/>
    <w:rsid w:val="00985D80"/>
    <w:rsid w:val="00990906"/>
    <w:rsid w:val="009978E6"/>
    <w:rsid w:val="009A0F83"/>
    <w:rsid w:val="009A3E2F"/>
    <w:rsid w:val="009B147F"/>
    <w:rsid w:val="009B15E7"/>
    <w:rsid w:val="009B17B5"/>
    <w:rsid w:val="009B634A"/>
    <w:rsid w:val="009B6440"/>
    <w:rsid w:val="009C0F83"/>
    <w:rsid w:val="009C71C6"/>
    <w:rsid w:val="009D2D87"/>
    <w:rsid w:val="009D4ABD"/>
    <w:rsid w:val="009D5F6A"/>
    <w:rsid w:val="009D72B6"/>
    <w:rsid w:val="009D72C4"/>
    <w:rsid w:val="009E4FFC"/>
    <w:rsid w:val="009E689C"/>
    <w:rsid w:val="009F0621"/>
    <w:rsid w:val="009F3E92"/>
    <w:rsid w:val="009F70C7"/>
    <w:rsid w:val="00A07829"/>
    <w:rsid w:val="00A115B5"/>
    <w:rsid w:val="00A166B2"/>
    <w:rsid w:val="00A16B82"/>
    <w:rsid w:val="00A250E6"/>
    <w:rsid w:val="00A3597A"/>
    <w:rsid w:val="00A37F96"/>
    <w:rsid w:val="00A41DBB"/>
    <w:rsid w:val="00A43722"/>
    <w:rsid w:val="00A45B50"/>
    <w:rsid w:val="00A50ECC"/>
    <w:rsid w:val="00A530AA"/>
    <w:rsid w:val="00A669E7"/>
    <w:rsid w:val="00A72FDA"/>
    <w:rsid w:val="00A7686E"/>
    <w:rsid w:val="00A812DC"/>
    <w:rsid w:val="00A81822"/>
    <w:rsid w:val="00A81A71"/>
    <w:rsid w:val="00A85C98"/>
    <w:rsid w:val="00A9387F"/>
    <w:rsid w:val="00A94DE0"/>
    <w:rsid w:val="00A97668"/>
    <w:rsid w:val="00AA3449"/>
    <w:rsid w:val="00AA4B4D"/>
    <w:rsid w:val="00AA645D"/>
    <w:rsid w:val="00AB1730"/>
    <w:rsid w:val="00AB5C94"/>
    <w:rsid w:val="00AB7813"/>
    <w:rsid w:val="00AC5F58"/>
    <w:rsid w:val="00AD6721"/>
    <w:rsid w:val="00AE12B8"/>
    <w:rsid w:val="00AE44A2"/>
    <w:rsid w:val="00AE4508"/>
    <w:rsid w:val="00AE6523"/>
    <w:rsid w:val="00AE7C7B"/>
    <w:rsid w:val="00AF1101"/>
    <w:rsid w:val="00AF2E4C"/>
    <w:rsid w:val="00B02AD1"/>
    <w:rsid w:val="00B038A0"/>
    <w:rsid w:val="00B06974"/>
    <w:rsid w:val="00B108E9"/>
    <w:rsid w:val="00B123F8"/>
    <w:rsid w:val="00B130AF"/>
    <w:rsid w:val="00B13A0C"/>
    <w:rsid w:val="00B17C7B"/>
    <w:rsid w:val="00B24480"/>
    <w:rsid w:val="00B3187A"/>
    <w:rsid w:val="00B33516"/>
    <w:rsid w:val="00B341FB"/>
    <w:rsid w:val="00B35859"/>
    <w:rsid w:val="00B40461"/>
    <w:rsid w:val="00B405A4"/>
    <w:rsid w:val="00B433F4"/>
    <w:rsid w:val="00B461F1"/>
    <w:rsid w:val="00B51882"/>
    <w:rsid w:val="00B53159"/>
    <w:rsid w:val="00B62AE5"/>
    <w:rsid w:val="00B63CDA"/>
    <w:rsid w:val="00B64EFF"/>
    <w:rsid w:val="00B7177F"/>
    <w:rsid w:val="00B758C7"/>
    <w:rsid w:val="00B80858"/>
    <w:rsid w:val="00B85420"/>
    <w:rsid w:val="00B874FC"/>
    <w:rsid w:val="00B94DDB"/>
    <w:rsid w:val="00BB17B7"/>
    <w:rsid w:val="00BB1A72"/>
    <w:rsid w:val="00BB2E0D"/>
    <w:rsid w:val="00BC2CC3"/>
    <w:rsid w:val="00BD1F21"/>
    <w:rsid w:val="00BD3020"/>
    <w:rsid w:val="00BD5425"/>
    <w:rsid w:val="00BD615A"/>
    <w:rsid w:val="00BD662F"/>
    <w:rsid w:val="00BD669B"/>
    <w:rsid w:val="00BE3480"/>
    <w:rsid w:val="00BE395C"/>
    <w:rsid w:val="00BF2CF9"/>
    <w:rsid w:val="00BF49FE"/>
    <w:rsid w:val="00BF6BB0"/>
    <w:rsid w:val="00C022DC"/>
    <w:rsid w:val="00C121FC"/>
    <w:rsid w:val="00C12FC5"/>
    <w:rsid w:val="00C22141"/>
    <w:rsid w:val="00C26172"/>
    <w:rsid w:val="00C30F6E"/>
    <w:rsid w:val="00C34062"/>
    <w:rsid w:val="00C37584"/>
    <w:rsid w:val="00C43AE3"/>
    <w:rsid w:val="00C55672"/>
    <w:rsid w:val="00C57652"/>
    <w:rsid w:val="00C609FB"/>
    <w:rsid w:val="00C625CF"/>
    <w:rsid w:val="00C63877"/>
    <w:rsid w:val="00C66103"/>
    <w:rsid w:val="00C67E9C"/>
    <w:rsid w:val="00C722C0"/>
    <w:rsid w:val="00C72A99"/>
    <w:rsid w:val="00C7362F"/>
    <w:rsid w:val="00C7449B"/>
    <w:rsid w:val="00C85758"/>
    <w:rsid w:val="00C859ED"/>
    <w:rsid w:val="00C8768B"/>
    <w:rsid w:val="00C93393"/>
    <w:rsid w:val="00C97E2D"/>
    <w:rsid w:val="00CB1BE0"/>
    <w:rsid w:val="00CB4C77"/>
    <w:rsid w:val="00CC0EF2"/>
    <w:rsid w:val="00CC3554"/>
    <w:rsid w:val="00CC3ED3"/>
    <w:rsid w:val="00CC786B"/>
    <w:rsid w:val="00CD0B21"/>
    <w:rsid w:val="00CD24B8"/>
    <w:rsid w:val="00CD34C5"/>
    <w:rsid w:val="00CD3A8A"/>
    <w:rsid w:val="00CD4872"/>
    <w:rsid w:val="00CE151F"/>
    <w:rsid w:val="00CF056F"/>
    <w:rsid w:val="00CF0D43"/>
    <w:rsid w:val="00CF5F13"/>
    <w:rsid w:val="00D03D2C"/>
    <w:rsid w:val="00D11438"/>
    <w:rsid w:val="00D13571"/>
    <w:rsid w:val="00D138BB"/>
    <w:rsid w:val="00D1583F"/>
    <w:rsid w:val="00D1613C"/>
    <w:rsid w:val="00D211C6"/>
    <w:rsid w:val="00D30C86"/>
    <w:rsid w:val="00D4265D"/>
    <w:rsid w:val="00D476D8"/>
    <w:rsid w:val="00D47B5D"/>
    <w:rsid w:val="00D5344B"/>
    <w:rsid w:val="00D54480"/>
    <w:rsid w:val="00D54D9E"/>
    <w:rsid w:val="00D6116C"/>
    <w:rsid w:val="00D62612"/>
    <w:rsid w:val="00D6314A"/>
    <w:rsid w:val="00D71C61"/>
    <w:rsid w:val="00D7354B"/>
    <w:rsid w:val="00D73D2C"/>
    <w:rsid w:val="00D74D62"/>
    <w:rsid w:val="00D80851"/>
    <w:rsid w:val="00D818D2"/>
    <w:rsid w:val="00D81E3F"/>
    <w:rsid w:val="00D959B4"/>
    <w:rsid w:val="00D95BB4"/>
    <w:rsid w:val="00D9615B"/>
    <w:rsid w:val="00DA26D6"/>
    <w:rsid w:val="00DA5971"/>
    <w:rsid w:val="00DA5B75"/>
    <w:rsid w:val="00DA72A1"/>
    <w:rsid w:val="00DB0297"/>
    <w:rsid w:val="00DB3691"/>
    <w:rsid w:val="00DB5EB8"/>
    <w:rsid w:val="00DC3CD7"/>
    <w:rsid w:val="00DE55AF"/>
    <w:rsid w:val="00DE78B4"/>
    <w:rsid w:val="00DF7A93"/>
    <w:rsid w:val="00E10A0D"/>
    <w:rsid w:val="00E164EF"/>
    <w:rsid w:val="00E17C98"/>
    <w:rsid w:val="00E20FFA"/>
    <w:rsid w:val="00E2387D"/>
    <w:rsid w:val="00E254A7"/>
    <w:rsid w:val="00E27BFA"/>
    <w:rsid w:val="00E27EA2"/>
    <w:rsid w:val="00E30F90"/>
    <w:rsid w:val="00E33687"/>
    <w:rsid w:val="00E35C02"/>
    <w:rsid w:val="00E46A14"/>
    <w:rsid w:val="00E50B77"/>
    <w:rsid w:val="00E529F3"/>
    <w:rsid w:val="00E52CB3"/>
    <w:rsid w:val="00E5401B"/>
    <w:rsid w:val="00E5433D"/>
    <w:rsid w:val="00E5639A"/>
    <w:rsid w:val="00E56415"/>
    <w:rsid w:val="00E67C08"/>
    <w:rsid w:val="00E77286"/>
    <w:rsid w:val="00E804BB"/>
    <w:rsid w:val="00E83216"/>
    <w:rsid w:val="00E84648"/>
    <w:rsid w:val="00E852ED"/>
    <w:rsid w:val="00E8564D"/>
    <w:rsid w:val="00E940A6"/>
    <w:rsid w:val="00E974D0"/>
    <w:rsid w:val="00E97B41"/>
    <w:rsid w:val="00EA3339"/>
    <w:rsid w:val="00EA43EA"/>
    <w:rsid w:val="00EB05A4"/>
    <w:rsid w:val="00EB2B9C"/>
    <w:rsid w:val="00EB6923"/>
    <w:rsid w:val="00EC13CB"/>
    <w:rsid w:val="00EC45CA"/>
    <w:rsid w:val="00ED10B2"/>
    <w:rsid w:val="00ED47EE"/>
    <w:rsid w:val="00ED741B"/>
    <w:rsid w:val="00EE128A"/>
    <w:rsid w:val="00EE19AE"/>
    <w:rsid w:val="00EE6A47"/>
    <w:rsid w:val="00EF20CD"/>
    <w:rsid w:val="00F00622"/>
    <w:rsid w:val="00F00A4B"/>
    <w:rsid w:val="00F026D3"/>
    <w:rsid w:val="00F2526F"/>
    <w:rsid w:val="00F3144F"/>
    <w:rsid w:val="00F32C8B"/>
    <w:rsid w:val="00F3346C"/>
    <w:rsid w:val="00F34679"/>
    <w:rsid w:val="00F35348"/>
    <w:rsid w:val="00F4022B"/>
    <w:rsid w:val="00F41E28"/>
    <w:rsid w:val="00F44075"/>
    <w:rsid w:val="00F4483B"/>
    <w:rsid w:val="00F46DB1"/>
    <w:rsid w:val="00F46FAB"/>
    <w:rsid w:val="00F5168F"/>
    <w:rsid w:val="00F51F4C"/>
    <w:rsid w:val="00F525A6"/>
    <w:rsid w:val="00F54489"/>
    <w:rsid w:val="00F5651F"/>
    <w:rsid w:val="00F572C9"/>
    <w:rsid w:val="00F61F89"/>
    <w:rsid w:val="00F6235A"/>
    <w:rsid w:val="00F660F6"/>
    <w:rsid w:val="00F67927"/>
    <w:rsid w:val="00F72AED"/>
    <w:rsid w:val="00F8171A"/>
    <w:rsid w:val="00F831D8"/>
    <w:rsid w:val="00F83C73"/>
    <w:rsid w:val="00F84B2F"/>
    <w:rsid w:val="00F86D15"/>
    <w:rsid w:val="00F9264B"/>
    <w:rsid w:val="00F970B0"/>
    <w:rsid w:val="00FA1FF3"/>
    <w:rsid w:val="00FA60F0"/>
    <w:rsid w:val="00FB23FE"/>
    <w:rsid w:val="00FD2D13"/>
    <w:rsid w:val="00FD3E5F"/>
    <w:rsid w:val="00FD4DCD"/>
    <w:rsid w:val="00FD6B90"/>
    <w:rsid w:val="00FE2254"/>
    <w:rsid w:val="00FE5703"/>
    <w:rsid w:val="00FE7567"/>
    <w:rsid w:val="00FF60DE"/>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515B32D0"/>
  <w15:docId w15:val="{44DC4809-0E40-4137-BC2D-EED31657B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BodyText"/>
    <w:link w:val="Heading4Char"/>
    <w:uiPriority w:val="9"/>
    <w:qFormat/>
    <w:rsid w:val="00517D01"/>
    <w:pPr>
      <w:keepNext/>
      <w:keepLines/>
      <w:spacing w:after="60" w:line="264" w:lineRule="auto"/>
      <w:outlineLvl w:val="3"/>
    </w:pPr>
    <w:rPr>
      <w:rFonts w:asciiTheme="majorHAnsi" w:eastAsiaTheme="majorEastAsia" w:hAnsiTheme="majorHAnsi" w:cstheme="majorBidi"/>
      <w:b/>
      <w:bCs/>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5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521E"/>
    <w:pPr>
      <w:ind w:left="720"/>
      <w:contextualSpacing/>
    </w:pPr>
  </w:style>
  <w:style w:type="paragraph" w:styleId="BalloonText">
    <w:name w:val="Balloon Text"/>
    <w:basedOn w:val="Normal"/>
    <w:link w:val="BalloonTextChar"/>
    <w:uiPriority w:val="99"/>
    <w:semiHidden/>
    <w:unhideWhenUsed/>
    <w:rsid w:val="00687C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CF0"/>
    <w:rPr>
      <w:rFonts w:ascii="Segoe UI" w:hAnsi="Segoe UI" w:cs="Segoe UI"/>
      <w:sz w:val="18"/>
      <w:szCs w:val="18"/>
    </w:rPr>
  </w:style>
  <w:style w:type="paragraph" w:customStyle="1" w:styleId="2ColumnBody">
    <w:name w:val="2 Column Body"/>
    <w:basedOn w:val="Normal"/>
    <w:link w:val="2ColumnBodyChar"/>
    <w:rsid w:val="00C7362F"/>
    <w:pPr>
      <w:spacing w:after="120" w:line="264" w:lineRule="auto"/>
    </w:pPr>
    <w:rPr>
      <w:rFonts w:ascii="Arial" w:eastAsia="MS Mincho" w:hAnsi="Arial" w:cs="Times New Roman"/>
      <w:sz w:val="20"/>
      <w:szCs w:val="20"/>
    </w:rPr>
  </w:style>
  <w:style w:type="character" w:customStyle="1" w:styleId="2ColumnBodyChar">
    <w:name w:val="2 Column Body Char"/>
    <w:link w:val="2ColumnBody"/>
    <w:locked/>
    <w:rsid w:val="00C7362F"/>
    <w:rPr>
      <w:rFonts w:ascii="Arial" w:eastAsia="MS Mincho" w:hAnsi="Arial" w:cs="Times New Roman"/>
      <w:sz w:val="20"/>
      <w:szCs w:val="20"/>
    </w:rPr>
  </w:style>
  <w:style w:type="character" w:styleId="CommentReference">
    <w:name w:val="annotation reference"/>
    <w:basedOn w:val="DefaultParagraphFont"/>
    <w:uiPriority w:val="99"/>
    <w:semiHidden/>
    <w:unhideWhenUsed/>
    <w:rsid w:val="004370B7"/>
    <w:rPr>
      <w:sz w:val="16"/>
      <w:szCs w:val="16"/>
    </w:rPr>
  </w:style>
  <w:style w:type="paragraph" w:styleId="CommentText">
    <w:name w:val="annotation text"/>
    <w:basedOn w:val="Normal"/>
    <w:link w:val="CommentTextChar"/>
    <w:uiPriority w:val="99"/>
    <w:unhideWhenUsed/>
    <w:rsid w:val="004370B7"/>
    <w:pPr>
      <w:spacing w:line="240" w:lineRule="auto"/>
    </w:pPr>
    <w:rPr>
      <w:sz w:val="20"/>
      <w:szCs w:val="20"/>
    </w:rPr>
  </w:style>
  <w:style w:type="character" w:customStyle="1" w:styleId="CommentTextChar">
    <w:name w:val="Comment Text Char"/>
    <w:basedOn w:val="DefaultParagraphFont"/>
    <w:link w:val="CommentText"/>
    <w:uiPriority w:val="99"/>
    <w:rsid w:val="004370B7"/>
    <w:rPr>
      <w:sz w:val="20"/>
      <w:szCs w:val="20"/>
    </w:rPr>
  </w:style>
  <w:style w:type="paragraph" w:styleId="CommentSubject">
    <w:name w:val="annotation subject"/>
    <w:basedOn w:val="CommentText"/>
    <w:next w:val="CommentText"/>
    <w:link w:val="CommentSubjectChar"/>
    <w:uiPriority w:val="99"/>
    <w:semiHidden/>
    <w:unhideWhenUsed/>
    <w:rsid w:val="004370B7"/>
    <w:rPr>
      <w:b/>
      <w:bCs/>
    </w:rPr>
  </w:style>
  <w:style w:type="character" w:customStyle="1" w:styleId="CommentSubjectChar">
    <w:name w:val="Comment Subject Char"/>
    <w:basedOn w:val="CommentTextChar"/>
    <w:link w:val="CommentSubject"/>
    <w:uiPriority w:val="99"/>
    <w:semiHidden/>
    <w:rsid w:val="004370B7"/>
    <w:rPr>
      <w:b/>
      <w:bCs/>
      <w:sz w:val="20"/>
      <w:szCs w:val="20"/>
    </w:rPr>
  </w:style>
  <w:style w:type="character" w:styleId="Hyperlink">
    <w:name w:val="Hyperlink"/>
    <w:basedOn w:val="DefaultParagraphFont"/>
    <w:uiPriority w:val="99"/>
    <w:unhideWhenUsed/>
    <w:rsid w:val="003D403E"/>
    <w:rPr>
      <w:color w:val="0563C1" w:themeColor="hyperlink"/>
      <w:u w:val="single"/>
    </w:rPr>
  </w:style>
  <w:style w:type="paragraph" w:styleId="BodyText">
    <w:name w:val="Body Text"/>
    <w:basedOn w:val="Normal"/>
    <w:link w:val="BodyTextChar"/>
    <w:uiPriority w:val="11"/>
    <w:qFormat/>
    <w:rsid w:val="004267F3"/>
    <w:pPr>
      <w:spacing w:after="120" w:line="276" w:lineRule="auto"/>
    </w:pPr>
    <w:rPr>
      <w:color w:val="000000" w:themeColor="text1"/>
      <w:sz w:val="20"/>
    </w:rPr>
  </w:style>
  <w:style w:type="character" w:customStyle="1" w:styleId="BodyTextChar">
    <w:name w:val="Body Text Char"/>
    <w:basedOn w:val="DefaultParagraphFont"/>
    <w:link w:val="BodyText"/>
    <w:uiPriority w:val="11"/>
    <w:rsid w:val="004267F3"/>
    <w:rPr>
      <w:color w:val="000000" w:themeColor="text1"/>
      <w:sz w:val="20"/>
    </w:rPr>
  </w:style>
  <w:style w:type="paragraph" w:styleId="Revision">
    <w:name w:val="Revision"/>
    <w:hidden/>
    <w:uiPriority w:val="99"/>
    <w:semiHidden/>
    <w:rsid w:val="000454CE"/>
    <w:pPr>
      <w:spacing w:after="0" w:line="240" w:lineRule="auto"/>
    </w:pPr>
  </w:style>
  <w:style w:type="paragraph" w:styleId="NormalWeb">
    <w:name w:val="Normal (Web)"/>
    <w:basedOn w:val="Normal"/>
    <w:uiPriority w:val="99"/>
    <w:unhideWhenUsed/>
    <w:rsid w:val="00E97B4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PlainTable2">
    <w:name w:val="Plain Table 2"/>
    <w:basedOn w:val="TableNormal"/>
    <w:uiPriority w:val="42"/>
    <w:rsid w:val="00005D1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uiPriority w:val="9"/>
    <w:rsid w:val="00517D01"/>
    <w:rPr>
      <w:rFonts w:asciiTheme="majorHAnsi" w:eastAsiaTheme="majorEastAsia" w:hAnsiTheme="majorHAnsi" w:cstheme="majorBidi"/>
      <w:b/>
      <w:bCs/>
      <w:iCs/>
      <w:color w:val="000000" w:themeColor="text1"/>
      <w:sz w:val="20"/>
    </w:rPr>
  </w:style>
  <w:style w:type="paragraph" w:styleId="ListBullet">
    <w:name w:val="List Bullet"/>
    <w:basedOn w:val="BodyText"/>
    <w:qFormat/>
    <w:rsid w:val="00517D01"/>
    <w:pPr>
      <w:numPr>
        <w:numId w:val="2"/>
      </w:numPr>
    </w:pPr>
  </w:style>
  <w:style w:type="numbering" w:customStyle="1" w:styleId="ListBullets">
    <w:name w:val="_List Bullets"/>
    <w:uiPriority w:val="99"/>
    <w:rsid w:val="00517D01"/>
    <w:pPr>
      <w:numPr>
        <w:numId w:val="2"/>
      </w:numPr>
    </w:pPr>
  </w:style>
  <w:style w:type="character" w:customStyle="1" w:styleId="normaltextrun">
    <w:name w:val="normaltextrun"/>
    <w:basedOn w:val="DefaultParagraphFont"/>
    <w:rsid w:val="00C7449B"/>
  </w:style>
  <w:style w:type="paragraph" w:customStyle="1" w:styleId="AonBusinessUnit">
    <w:name w:val="Aon Business Unit"/>
    <w:basedOn w:val="Normal"/>
    <w:qFormat/>
    <w:rsid w:val="00773899"/>
    <w:pPr>
      <w:tabs>
        <w:tab w:val="right" w:pos="9720"/>
      </w:tabs>
      <w:spacing w:after="0" w:line="240" w:lineRule="auto"/>
    </w:pPr>
    <w:rPr>
      <w:rFonts w:ascii="Arial" w:eastAsia="MS Mincho" w:hAnsi="Arial" w:cs="Times New Roman"/>
      <w:b/>
      <w:sz w:val="16"/>
      <w:szCs w:val="16"/>
      <w:lang w:val="en-US"/>
    </w:rPr>
  </w:style>
  <w:style w:type="table" w:styleId="GridTableLight">
    <w:name w:val="Grid Table Light"/>
    <w:basedOn w:val="TableNormal"/>
    <w:uiPriority w:val="40"/>
    <w:rsid w:val="00F3346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186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C80"/>
  </w:style>
  <w:style w:type="paragraph" w:styleId="Footer">
    <w:name w:val="footer"/>
    <w:basedOn w:val="Normal"/>
    <w:link w:val="FooterChar"/>
    <w:uiPriority w:val="99"/>
    <w:unhideWhenUsed/>
    <w:rsid w:val="00186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C80"/>
  </w:style>
  <w:style w:type="table" w:customStyle="1" w:styleId="TableGrid0">
    <w:name w:val="Table Grid_0"/>
    <w:basedOn w:val="TableNormal"/>
    <w:uiPriority w:val="39"/>
    <w:rsid w:val="004B5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0">
    <w:name w:val="Plain Table 2_0"/>
    <w:basedOn w:val="TableNormal"/>
    <w:uiPriority w:val="42"/>
    <w:rsid w:val="00005D1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2C7327"/>
    <w:rPr>
      <w:color w:val="605E5C"/>
      <w:shd w:val="clear" w:color="auto" w:fill="E1DFDD"/>
    </w:rPr>
  </w:style>
  <w:style w:type="character" w:styleId="FollowedHyperlink">
    <w:name w:val="FollowedHyperlink"/>
    <w:basedOn w:val="DefaultParagraphFont"/>
    <w:uiPriority w:val="99"/>
    <w:semiHidden/>
    <w:unhideWhenUsed/>
    <w:rsid w:val="00276B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protect.checkpoint.com/v2/r01/___https://eatonwilliams.com/pdf/SIP.pdf___.YXAzOm5vcnRla2luYzpjOm86OWQyOWY4Yzg3NWUyY2QyZTg4ZWI0ZjI3YTQ0ZTc0MzE6NzplNDNlOmFlNThmNGZkMjRjNDk5MGM3OGZkNzc2ZDJjYjk5MGMwMjEwOWVlYjYxZTdjZTViNWY0ZGI1NzYyMThhOThjOGY6cDpUOk4"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0ff25a27-629a-4546-b44a-7a6038177347</TitusGUID>
  <TitusMetadata xmlns="">eyJucyI6Imh0dHA6XC9cL3d3dy50aXR1cy5jb21cL25zXC9BT04iLCJwcm9wcyI6W3sibiI6IkFvbkNsYXNzaWZpY2F0aW9uIiwidmFscyI6W3sidmFsdWUiOiJBRENfY2xhc3NfMjAwIn1dfSx7Im4iOiJBb25SZXN0cmljdGVkIiwidmFscyI6W119LHsibiI6IkFvblZpc3VhbE1hcmtpbmdzIiwidmFscyI6W119XX0=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A60CC-1EA5-4431-9C53-9D9CCDC4BBD5}">
  <ds:schemaRefs>
    <ds:schemaRef ds:uri="http://schemas.titus.com/TitusProperties/"/>
    <ds:schemaRef ds:uri=""/>
  </ds:schemaRefs>
</ds:datastoreItem>
</file>

<file path=customXml/itemProps2.xml><?xml version="1.0" encoding="utf-8"?>
<ds:datastoreItem xmlns:ds="http://schemas.openxmlformats.org/officeDocument/2006/customXml" ds:itemID="{F83AAF1F-1240-4DBF-AECF-2D3E0C4E8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2134</Words>
  <Characters>12169</Characters>
  <Application>Microsoft Office Word</Application>
  <DocSecurity>2</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Binita</dc:creator>
  <cp:lastModifiedBy>A0835104 (Queenie Ng)</cp:lastModifiedBy>
  <cp:revision>7</cp:revision>
  <dcterms:created xsi:type="dcterms:W3CDTF">2025-04-11T14:50:00Z</dcterms:created>
  <dcterms:modified xsi:type="dcterms:W3CDTF">2025-04-11T15:00:00Z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onClassification">
    <vt:lpwstr>ADC_class_200</vt:lpwstr>
  </property>
  <property fmtid="{D5CDD505-2E9C-101B-9397-08002B2CF9AE}" pid="3" name="MSIP_Label_9043f10a-881e-4653-a55e-02ca2cc829dc_ActionId">
    <vt:lpwstr>854c645e-a2a9-4386-9a43-e7d656524032</vt:lpwstr>
  </property>
  <property fmtid="{D5CDD505-2E9C-101B-9397-08002B2CF9AE}" pid="4" name="MSIP_Label_9043f10a-881e-4653-a55e-02ca2cc829dc_ContentBits">
    <vt:lpwstr>0</vt:lpwstr>
  </property>
  <property fmtid="{D5CDD505-2E9C-101B-9397-08002B2CF9AE}" pid="5" name="MSIP_Label_9043f10a-881e-4653-a55e-02ca2cc829dc_Enabled">
    <vt:lpwstr>true</vt:lpwstr>
  </property>
  <property fmtid="{D5CDD505-2E9C-101B-9397-08002B2CF9AE}" pid="6" name="MSIP_Label_9043f10a-881e-4653-a55e-02ca2cc829dc_Method">
    <vt:lpwstr>Standard</vt:lpwstr>
  </property>
  <property fmtid="{D5CDD505-2E9C-101B-9397-08002B2CF9AE}" pid="7" name="MSIP_Label_9043f10a-881e-4653-a55e-02ca2cc829dc_Name">
    <vt:lpwstr>ADC_class_200</vt:lpwstr>
  </property>
  <property fmtid="{D5CDD505-2E9C-101B-9397-08002B2CF9AE}" pid="8" name="MSIP_Label_9043f10a-881e-4653-a55e-02ca2cc829dc_SetDate">
    <vt:lpwstr>2023-11-08T09:52:07Z</vt:lpwstr>
  </property>
  <property fmtid="{D5CDD505-2E9C-101B-9397-08002B2CF9AE}" pid="9" name="MSIP_Label_9043f10a-881e-4653-a55e-02ca2cc829dc_SiteId">
    <vt:lpwstr>94cfddbc-0627-494a-ad7a-29aea3aea832</vt:lpwstr>
  </property>
  <property fmtid="{D5CDD505-2E9C-101B-9397-08002B2CF9AE}" pid="10" name="TitusGUID">
    <vt:lpwstr>0ff25a27-629a-4546-b44a-7a6038177347</vt:lpwstr>
  </property>
  <property fmtid="{D5CDD505-2E9C-101B-9397-08002B2CF9AE}" pid="11" name="_NewReviewCycle">
    <vt:lpwstr/>
  </property>
</Properties>
</file>